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0D4D1E8" w14:textId="128FBD75" w:rsidR="008A388C" w:rsidRDefault="008A388C" w:rsidP="008A388C">
      <w:pPr>
        <w:jc w:val="center"/>
        <w:rPr>
          <w:b/>
          <w:sz w:val="44"/>
          <w:szCs w:val="44"/>
        </w:rPr>
      </w:pPr>
      <w:bookmarkStart w:id="0" w:name="_GoBack"/>
      <w:bookmarkEnd w:id="0"/>
      <w:r>
        <w:rPr>
          <w:b/>
          <w:sz w:val="44"/>
          <w:szCs w:val="44"/>
        </w:rPr>
        <w:t>Approach to Assessment, Prevention and Management of Biostimulatory Impacts to California Estuaries, Enclosed Bays, and Inland Waterbodies</w:t>
      </w:r>
    </w:p>
    <w:p w14:paraId="5F85AC9D" w14:textId="77777777" w:rsidR="008A388C" w:rsidRDefault="008A388C" w:rsidP="008A388C">
      <w:pPr>
        <w:jc w:val="center"/>
        <w:rPr>
          <w:b/>
          <w:sz w:val="40"/>
          <w:szCs w:val="40"/>
        </w:rPr>
      </w:pPr>
    </w:p>
    <w:p w14:paraId="263BDC20" w14:textId="77777777" w:rsidR="008A388C" w:rsidRDefault="008A388C" w:rsidP="008A388C">
      <w:pPr>
        <w:jc w:val="center"/>
        <w:rPr>
          <w:b/>
          <w:sz w:val="40"/>
          <w:szCs w:val="40"/>
        </w:rPr>
      </w:pPr>
    </w:p>
    <w:p w14:paraId="61789057" w14:textId="77777777" w:rsidR="008A388C" w:rsidRDefault="008A388C" w:rsidP="008A388C">
      <w:pPr>
        <w:jc w:val="center"/>
        <w:rPr>
          <w:b/>
          <w:sz w:val="40"/>
          <w:szCs w:val="40"/>
        </w:rPr>
      </w:pPr>
    </w:p>
    <w:p w14:paraId="694635D7" w14:textId="77777777" w:rsidR="008A388C" w:rsidRDefault="008A388C" w:rsidP="008A388C">
      <w:pPr>
        <w:spacing w:after="80" w:line="240" w:lineRule="auto"/>
        <w:jc w:val="center"/>
        <w:rPr>
          <w:b/>
          <w:sz w:val="32"/>
          <w:szCs w:val="32"/>
        </w:rPr>
      </w:pPr>
      <w:r>
        <w:rPr>
          <w:b/>
          <w:sz w:val="32"/>
          <w:szCs w:val="32"/>
        </w:rPr>
        <w:t xml:space="preserve">Prepared for: </w:t>
      </w:r>
    </w:p>
    <w:p w14:paraId="458C69F3" w14:textId="77777777" w:rsidR="008A388C" w:rsidRDefault="008A388C" w:rsidP="008A388C">
      <w:pPr>
        <w:spacing w:after="80" w:line="240" w:lineRule="auto"/>
        <w:jc w:val="center"/>
        <w:rPr>
          <w:b/>
          <w:sz w:val="32"/>
          <w:szCs w:val="32"/>
        </w:rPr>
      </w:pPr>
      <w:r>
        <w:rPr>
          <w:b/>
          <w:sz w:val="32"/>
          <w:szCs w:val="32"/>
        </w:rPr>
        <w:t>The California Environmental Protection Agency</w:t>
      </w:r>
    </w:p>
    <w:p w14:paraId="36C957E2" w14:textId="77777777" w:rsidR="008A388C" w:rsidRDefault="008A388C" w:rsidP="008A388C">
      <w:pPr>
        <w:spacing w:after="80" w:line="240" w:lineRule="auto"/>
        <w:jc w:val="center"/>
        <w:rPr>
          <w:b/>
          <w:sz w:val="32"/>
          <w:szCs w:val="32"/>
        </w:rPr>
      </w:pPr>
      <w:r>
        <w:rPr>
          <w:b/>
          <w:sz w:val="32"/>
          <w:szCs w:val="32"/>
        </w:rPr>
        <w:t>State Water Resources Control Board</w:t>
      </w:r>
    </w:p>
    <w:p w14:paraId="653D5350" w14:textId="6B4BE221" w:rsidR="008A388C" w:rsidRDefault="008A388C" w:rsidP="008A388C">
      <w:pPr>
        <w:spacing w:after="80" w:line="240" w:lineRule="auto"/>
        <w:jc w:val="center"/>
        <w:rPr>
          <w:b/>
          <w:sz w:val="32"/>
          <w:szCs w:val="32"/>
        </w:rPr>
      </w:pPr>
      <w:r>
        <w:rPr>
          <w:b/>
          <w:sz w:val="32"/>
          <w:szCs w:val="32"/>
        </w:rPr>
        <w:t>(Agreement Number</w:t>
      </w:r>
      <w:r w:rsidR="00B3558E">
        <w:rPr>
          <w:b/>
          <w:sz w:val="32"/>
          <w:szCs w:val="32"/>
        </w:rPr>
        <w:t>s</w:t>
      </w:r>
      <w:r>
        <w:rPr>
          <w:b/>
          <w:sz w:val="32"/>
          <w:szCs w:val="32"/>
        </w:rPr>
        <w:t xml:space="preserve"> </w:t>
      </w:r>
      <w:r w:rsidR="004C7895" w:rsidRPr="004C7895">
        <w:rPr>
          <w:b/>
          <w:sz w:val="32"/>
          <w:szCs w:val="32"/>
        </w:rPr>
        <w:t>D15-15001 and D15-15002</w:t>
      </w:r>
      <w:r>
        <w:rPr>
          <w:b/>
          <w:sz w:val="32"/>
          <w:szCs w:val="32"/>
        </w:rPr>
        <w:t>)</w:t>
      </w:r>
    </w:p>
    <w:p w14:paraId="7CB21893" w14:textId="77777777" w:rsidR="008A388C" w:rsidRDefault="008A388C" w:rsidP="008A388C">
      <w:pPr>
        <w:spacing w:after="80" w:line="240" w:lineRule="auto"/>
        <w:jc w:val="center"/>
        <w:rPr>
          <w:b/>
          <w:sz w:val="32"/>
          <w:szCs w:val="32"/>
        </w:rPr>
      </w:pPr>
    </w:p>
    <w:p w14:paraId="5765AA8C" w14:textId="77777777" w:rsidR="008A388C" w:rsidRDefault="008A388C" w:rsidP="008A388C">
      <w:pPr>
        <w:jc w:val="center"/>
      </w:pPr>
    </w:p>
    <w:p w14:paraId="724CB378" w14:textId="77777777" w:rsidR="008A388C" w:rsidRDefault="008A388C" w:rsidP="008A388C"/>
    <w:p w14:paraId="038DF10B" w14:textId="77777777" w:rsidR="008A388C" w:rsidRDefault="008A388C" w:rsidP="008A388C">
      <w:pPr>
        <w:jc w:val="center"/>
        <w:rPr>
          <w:b/>
        </w:rPr>
      </w:pPr>
    </w:p>
    <w:p w14:paraId="7764DC94" w14:textId="77777777" w:rsidR="008A388C" w:rsidRDefault="008A388C" w:rsidP="008A388C">
      <w:pPr>
        <w:spacing w:after="80" w:line="240" w:lineRule="auto"/>
        <w:jc w:val="center"/>
        <w:rPr>
          <w:b/>
          <w:sz w:val="28"/>
          <w:szCs w:val="28"/>
        </w:rPr>
      </w:pPr>
      <w:r>
        <w:rPr>
          <w:b/>
          <w:sz w:val="28"/>
          <w:szCs w:val="28"/>
        </w:rPr>
        <w:t xml:space="preserve">By </w:t>
      </w:r>
    </w:p>
    <w:p w14:paraId="736F12B2" w14:textId="77777777" w:rsidR="008A388C" w:rsidRDefault="008A388C" w:rsidP="008A388C">
      <w:pPr>
        <w:spacing w:after="80" w:line="240" w:lineRule="auto"/>
        <w:jc w:val="center"/>
        <w:rPr>
          <w:b/>
          <w:sz w:val="28"/>
          <w:szCs w:val="28"/>
        </w:rPr>
      </w:pPr>
      <w:r>
        <w:rPr>
          <w:b/>
          <w:sz w:val="28"/>
          <w:szCs w:val="28"/>
        </w:rPr>
        <w:t>Martha Sutula</w:t>
      </w:r>
    </w:p>
    <w:p w14:paraId="072D3D77" w14:textId="77777777" w:rsidR="008A388C" w:rsidRDefault="008A388C" w:rsidP="008A388C">
      <w:pPr>
        <w:pBdr>
          <w:top w:val="nil"/>
          <w:left w:val="nil"/>
          <w:bottom w:val="nil"/>
          <w:right w:val="nil"/>
          <w:between w:val="nil"/>
        </w:pBdr>
        <w:spacing w:after="0" w:line="240" w:lineRule="auto"/>
        <w:ind w:hanging="720"/>
        <w:jc w:val="center"/>
        <w:rPr>
          <w:b/>
          <w:color w:val="000000"/>
          <w:sz w:val="28"/>
          <w:szCs w:val="28"/>
        </w:rPr>
      </w:pPr>
      <w:r>
        <w:rPr>
          <w:b/>
          <w:color w:val="000000"/>
          <w:sz w:val="28"/>
          <w:szCs w:val="28"/>
        </w:rPr>
        <w:t>Southern California Coastal Water Research Project</w:t>
      </w:r>
    </w:p>
    <w:p w14:paraId="6D9BA903" w14:textId="77777777" w:rsidR="008A388C" w:rsidRDefault="008A388C" w:rsidP="008A388C">
      <w:pPr>
        <w:pBdr>
          <w:top w:val="nil"/>
          <w:left w:val="nil"/>
          <w:bottom w:val="nil"/>
          <w:right w:val="nil"/>
          <w:between w:val="nil"/>
        </w:pBdr>
        <w:spacing w:after="80" w:line="240" w:lineRule="auto"/>
        <w:ind w:hanging="720"/>
        <w:jc w:val="center"/>
        <w:rPr>
          <w:b/>
          <w:color w:val="000000"/>
          <w:sz w:val="28"/>
          <w:szCs w:val="28"/>
        </w:rPr>
      </w:pPr>
    </w:p>
    <w:p w14:paraId="07AFCD6E" w14:textId="77777777" w:rsidR="008A388C" w:rsidRDefault="008A388C" w:rsidP="008A388C">
      <w:pPr>
        <w:jc w:val="center"/>
        <w:rPr>
          <w:b/>
        </w:rPr>
      </w:pPr>
    </w:p>
    <w:p w14:paraId="7E68B9D1" w14:textId="0248C3DA" w:rsidR="008A388C" w:rsidRDefault="00DB79D2" w:rsidP="008A388C">
      <w:pPr>
        <w:jc w:val="center"/>
        <w:rPr>
          <w:b/>
        </w:rPr>
      </w:pPr>
      <w:r>
        <w:rPr>
          <w:b/>
        </w:rPr>
        <w:t>October</w:t>
      </w:r>
      <w:r w:rsidR="008A388C">
        <w:rPr>
          <w:b/>
        </w:rPr>
        <w:t xml:space="preserve"> 2018</w:t>
      </w:r>
    </w:p>
    <w:p w14:paraId="12AD845C" w14:textId="77777777" w:rsidR="008A388C" w:rsidRDefault="008A388C" w:rsidP="008A388C">
      <w:pPr>
        <w:jc w:val="center"/>
        <w:rPr>
          <w:b/>
        </w:rPr>
      </w:pPr>
    </w:p>
    <w:p w14:paraId="25BB7399" w14:textId="744F666E" w:rsidR="008A388C" w:rsidRDefault="008A388C" w:rsidP="008A388C">
      <w:pPr>
        <w:jc w:val="center"/>
        <w:rPr>
          <w:b/>
        </w:rPr>
      </w:pPr>
      <w:r>
        <w:rPr>
          <w:b/>
        </w:rPr>
        <w:t>SCCWRP Technical Report #871</w:t>
      </w:r>
    </w:p>
    <w:p w14:paraId="234E7493" w14:textId="25198CF0" w:rsidR="008A388C" w:rsidRDefault="002B07D8" w:rsidP="008A388C">
      <w:pPr>
        <w:widowControl w:val="0"/>
        <w:pBdr>
          <w:top w:val="nil"/>
          <w:left w:val="nil"/>
          <w:bottom w:val="nil"/>
          <w:right w:val="nil"/>
          <w:between w:val="nil"/>
        </w:pBdr>
        <w:spacing w:after="0"/>
        <w:rPr>
          <w:b/>
        </w:rPr>
        <w:sectPr w:rsidR="008A388C">
          <w:headerReference w:type="default" r:id="rId8"/>
          <w:footerReference w:type="default" r:id="rId9"/>
          <w:pgSz w:w="12240" w:h="15840"/>
          <w:pgMar w:top="1440" w:right="1440" w:bottom="1440" w:left="1440" w:header="0" w:footer="0" w:gutter="0"/>
          <w:pgNumType w:start="1"/>
          <w:cols w:space="720"/>
        </w:sectPr>
      </w:pPr>
      <w:r>
        <w:rPr>
          <w:b/>
          <w:noProof/>
        </w:rPr>
        <mc:AlternateContent>
          <mc:Choice Requires="wps">
            <w:drawing>
              <wp:anchor distT="0" distB="0" distL="114300" distR="114300" simplePos="0" relativeHeight="251661312" behindDoc="0" locked="0" layoutInCell="1" allowOverlap="1" wp14:anchorId="26E95C27" wp14:editId="250F5E0F">
                <wp:simplePos x="0" y="0"/>
                <wp:positionH relativeFrom="column">
                  <wp:posOffset>2698750</wp:posOffset>
                </wp:positionH>
                <wp:positionV relativeFrom="paragraph">
                  <wp:posOffset>681355</wp:posOffset>
                </wp:positionV>
                <wp:extent cx="488950" cy="450850"/>
                <wp:effectExtent l="0" t="0" r="25400" b="25400"/>
                <wp:wrapNone/>
                <wp:docPr id="9" name="Rectangle 9"/>
                <wp:cNvGraphicFramePr/>
                <a:graphic xmlns:a="http://schemas.openxmlformats.org/drawingml/2006/main">
                  <a:graphicData uri="http://schemas.microsoft.com/office/word/2010/wordprocessingShape">
                    <wps:wsp>
                      <wps:cNvSpPr/>
                      <wps:spPr>
                        <a:xfrm>
                          <a:off x="0" y="0"/>
                          <a:ext cx="488950" cy="45085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321C40" id="Rectangle 9" o:spid="_x0000_s1026" style="position:absolute;margin-left:212.5pt;margin-top:53.65pt;width:38.5pt;height:35.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" fillcolor="white [3212]" strokecolor="white [3212]" strokeweight="1pt"/>
            </w:pict>
          </mc:Fallback>
        </mc:AlternateContent>
      </w:r>
      <w:r w:rsidR="008A388C">
        <w:br w:type="page"/>
      </w:r>
    </w:p>
    <w:p w14:paraId="014D8F75" w14:textId="77777777" w:rsidR="00D01A66" w:rsidRPr="00FB6045" w:rsidRDefault="00D01A66" w:rsidP="00D01A66">
      <w:pPr>
        <w:pStyle w:val="Heading1"/>
      </w:pPr>
      <w:bookmarkStart w:id="1" w:name="_Toc414426302"/>
      <w:bookmarkStart w:id="2" w:name="_Toc428198998"/>
      <w:r w:rsidRPr="00FB6045">
        <w:lastRenderedPageBreak/>
        <w:t>Acknowledgements</w:t>
      </w:r>
      <w:bookmarkEnd w:id="1"/>
      <w:bookmarkEnd w:id="2"/>
    </w:p>
    <w:p w14:paraId="17853893" w14:textId="5F2551EA" w:rsidR="00D01A66" w:rsidRPr="00FB6045" w:rsidRDefault="00D01A66" w:rsidP="00D01A66">
      <w:r w:rsidRPr="00FB6045">
        <w:t xml:space="preserve">The authors of this document wish to thank the members of the </w:t>
      </w:r>
      <w:r>
        <w:t>Regulatory Workgroup, who provided valuable feedback on the</w:t>
      </w:r>
      <w:r w:rsidRPr="00FB6045">
        <w:t xml:space="preserve"> report</w:t>
      </w:r>
      <w:r>
        <w:t>, and Dana Shultz, for her assistance in document preparation. The report</w:t>
      </w:r>
      <w:r w:rsidRPr="00FB6045">
        <w:t xml:space="preserve"> was produced under California State Water Board contract to the Southern California Coastal Water Research Project (Agreement Number</w:t>
      </w:r>
      <w:r w:rsidR="004C7895">
        <w:t>s</w:t>
      </w:r>
      <w:r w:rsidRPr="00FB6045">
        <w:t xml:space="preserve"> </w:t>
      </w:r>
      <w:r w:rsidR="004C7895">
        <w:t>D15-15001 and D15-15002</w:t>
      </w:r>
      <w:r w:rsidRPr="00FB6045">
        <w:t>).</w:t>
      </w:r>
    </w:p>
    <w:p w14:paraId="6CD8144D" w14:textId="77777777" w:rsidR="00D01A66" w:rsidRPr="00FB6045" w:rsidRDefault="00D01A66" w:rsidP="00D01A66"/>
    <w:p w14:paraId="388FBC75" w14:textId="77777777" w:rsidR="00D01A66" w:rsidRPr="00FB6045" w:rsidRDefault="00D01A66" w:rsidP="00D01A66">
      <w:pPr>
        <w:pStyle w:val="NormalBodyText"/>
        <w:spacing w:after="0"/>
        <w:ind w:firstLine="0"/>
        <w:rPr>
          <w:rFonts w:asciiTheme="minorHAnsi" w:hAnsiTheme="minorHAnsi"/>
          <w:sz w:val="22"/>
          <w:szCs w:val="22"/>
        </w:rPr>
      </w:pPr>
    </w:p>
    <w:p w14:paraId="7D3D94B7" w14:textId="77777777" w:rsidR="00D01A66" w:rsidRPr="00FB6045" w:rsidRDefault="00D01A66" w:rsidP="00D01A66">
      <w:pPr>
        <w:pStyle w:val="NormalBodyText"/>
        <w:spacing w:after="0"/>
        <w:ind w:firstLine="0"/>
        <w:rPr>
          <w:rFonts w:asciiTheme="minorHAnsi" w:hAnsiTheme="minorHAnsi"/>
          <w:sz w:val="22"/>
          <w:szCs w:val="22"/>
        </w:rPr>
      </w:pPr>
    </w:p>
    <w:p w14:paraId="3E7F23DF" w14:textId="77777777" w:rsidR="00D01A66" w:rsidRPr="00FB6045" w:rsidRDefault="00D01A66" w:rsidP="00D01A66">
      <w:pPr>
        <w:pStyle w:val="NormalBodyText"/>
        <w:spacing w:after="0"/>
        <w:ind w:firstLine="0"/>
        <w:rPr>
          <w:rFonts w:asciiTheme="minorHAnsi" w:hAnsiTheme="minorHAnsi"/>
          <w:sz w:val="22"/>
          <w:szCs w:val="22"/>
        </w:rPr>
      </w:pPr>
    </w:p>
    <w:p w14:paraId="2E8FF15D" w14:textId="77777777" w:rsidR="00D01A66" w:rsidRPr="00FB6045" w:rsidRDefault="00D01A66" w:rsidP="00D01A66">
      <w:pPr>
        <w:pStyle w:val="NormalBodyText"/>
        <w:spacing w:after="0"/>
        <w:ind w:firstLine="0"/>
        <w:rPr>
          <w:rFonts w:asciiTheme="minorHAnsi" w:hAnsiTheme="minorHAnsi"/>
          <w:sz w:val="22"/>
          <w:szCs w:val="22"/>
        </w:rPr>
      </w:pPr>
    </w:p>
    <w:p w14:paraId="632B3DF9" w14:textId="77777777" w:rsidR="00D01A66" w:rsidRPr="00FB6045" w:rsidRDefault="00D01A66" w:rsidP="00D01A66">
      <w:pPr>
        <w:pStyle w:val="NormalBodyText"/>
        <w:spacing w:after="0"/>
        <w:ind w:firstLine="0"/>
        <w:rPr>
          <w:rFonts w:asciiTheme="minorHAnsi" w:hAnsiTheme="minorHAnsi"/>
          <w:sz w:val="22"/>
          <w:szCs w:val="22"/>
        </w:rPr>
      </w:pPr>
    </w:p>
    <w:p w14:paraId="0CF55459" w14:textId="77777777" w:rsidR="00D01A66" w:rsidRPr="00FB6045" w:rsidRDefault="00D01A66" w:rsidP="00D01A66">
      <w:pPr>
        <w:pStyle w:val="NormalBodyText"/>
        <w:spacing w:after="0"/>
        <w:ind w:firstLine="0"/>
        <w:rPr>
          <w:rFonts w:asciiTheme="minorHAnsi" w:hAnsiTheme="minorHAnsi"/>
          <w:sz w:val="22"/>
          <w:szCs w:val="22"/>
        </w:rPr>
      </w:pPr>
    </w:p>
    <w:p w14:paraId="3AB19A79" w14:textId="77777777" w:rsidR="00D01A66" w:rsidRPr="00FB6045" w:rsidRDefault="00D01A66" w:rsidP="00D01A66">
      <w:pPr>
        <w:pStyle w:val="NormalBodyText"/>
        <w:spacing w:after="0"/>
        <w:ind w:firstLine="0"/>
        <w:rPr>
          <w:rFonts w:asciiTheme="minorHAnsi" w:hAnsiTheme="minorHAnsi"/>
          <w:sz w:val="22"/>
          <w:szCs w:val="22"/>
        </w:rPr>
      </w:pPr>
    </w:p>
    <w:p w14:paraId="4A7FDA04" w14:textId="77777777" w:rsidR="00D01A66" w:rsidRPr="00FB6045" w:rsidRDefault="00D01A66" w:rsidP="00D01A66">
      <w:pPr>
        <w:pStyle w:val="NormalBodyText"/>
        <w:spacing w:after="0"/>
        <w:ind w:firstLine="0"/>
        <w:rPr>
          <w:rFonts w:asciiTheme="minorHAnsi" w:hAnsiTheme="minorHAnsi"/>
          <w:sz w:val="22"/>
          <w:szCs w:val="22"/>
        </w:rPr>
      </w:pPr>
    </w:p>
    <w:p w14:paraId="25DB9EED" w14:textId="77777777" w:rsidR="00D01A66" w:rsidRPr="00FB6045" w:rsidRDefault="00D01A66" w:rsidP="00D01A66">
      <w:pPr>
        <w:pStyle w:val="NormalBodyText"/>
        <w:spacing w:after="0"/>
        <w:ind w:firstLine="0"/>
        <w:rPr>
          <w:rFonts w:asciiTheme="minorHAnsi" w:hAnsiTheme="minorHAnsi"/>
          <w:sz w:val="22"/>
          <w:szCs w:val="22"/>
        </w:rPr>
      </w:pPr>
    </w:p>
    <w:p w14:paraId="756CAAE8" w14:textId="77777777" w:rsidR="00D01A66" w:rsidRPr="00FB6045" w:rsidRDefault="00D01A66" w:rsidP="00D01A66">
      <w:pPr>
        <w:pStyle w:val="NormalBodyText"/>
        <w:spacing w:after="0"/>
        <w:ind w:firstLine="0"/>
        <w:rPr>
          <w:rFonts w:asciiTheme="minorHAnsi" w:hAnsiTheme="minorHAnsi"/>
          <w:sz w:val="22"/>
          <w:szCs w:val="22"/>
        </w:rPr>
      </w:pPr>
    </w:p>
    <w:p w14:paraId="64E58B0D" w14:textId="77777777" w:rsidR="00D01A66" w:rsidRPr="00FB6045" w:rsidRDefault="00D01A66" w:rsidP="00D01A66">
      <w:pPr>
        <w:pStyle w:val="NormalBodyText"/>
        <w:spacing w:after="0"/>
        <w:ind w:firstLine="0"/>
        <w:rPr>
          <w:rFonts w:asciiTheme="minorHAnsi" w:hAnsiTheme="minorHAnsi"/>
          <w:sz w:val="22"/>
          <w:szCs w:val="22"/>
        </w:rPr>
      </w:pPr>
    </w:p>
    <w:p w14:paraId="55146CD4" w14:textId="77777777" w:rsidR="00D01A66" w:rsidRPr="00FB6045" w:rsidRDefault="00D01A66" w:rsidP="00D01A66">
      <w:pPr>
        <w:pStyle w:val="NormalBodyText"/>
        <w:spacing w:after="0"/>
        <w:ind w:firstLine="0"/>
        <w:rPr>
          <w:rFonts w:asciiTheme="minorHAnsi" w:hAnsiTheme="minorHAnsi"/>
          <w:sz w:val="22"/>
          <w:szCs w:val="22"/>
        </w:rPr>
      </w:pPr>
    </w:p>
    <w:p w14:paraId="0B9FEB91" w14:textId="77777777" w:rsidR="00D01A66" w:rsidRPr="00FB6045" w:rsidRDefault="00D01A66" w:rsidP="00D01A66">
      <w:pPr>
        <w:pStyle w:val="NormalBodyText"/>
        <w:spacing w:after="0"/>
        <w:ind w:firstLine="0"/>
        <w:rPr>
          <w:rFonts w:asciiTheme="minorHAnsi" w:hAnsiTheme="minorHAnsi"/>
          <w:sz w:val="22"/>
          <w:szCs w:val="22"/>
        </w:rPr>
      </w:pPr>
    </w:p>
    <w:p w14:paraId="111CD865" w14:textId="77777777" w:rsidR="00D01A66" w:rsidRPr="00FB6045" w:rsidRDefault="00D01A66" w:rsidP="00D01A66">
      <w:pPr>
        <w:pStyle w:val="NormalBodyText"/>
        <w:spacing w:after="0"/>
        <w:ind w:firstLine="0"/>
        <w:rPr>
          <w:rFonts w:asciiTheme="minorHAnsi" w:hAnsiTheme="minorHAnsi"/>
          <w:sz w:val="22"/>
          <w:szCs w:val="22"/>
        </w:rPr>
      </w:pPr>
    </w:p>
    <w:p w14:paraId="1AA64F72" w14:textId="77777777" w:rsidR="00D01A66" w:rsidRPr="00FB6045" w:rsidRDefault="00D01A66" w:rsidP="00D01A66">
      <w:pPr>
        <w:pStyle w:val="NormalBodyText"/>
        <w:spacing w:after="0"/>
        <w:ind w:firstLine="0"/>
        <w:rPr>
          <w:rFonts w:asciiTheme="minorHAnsi" w:hAnsiTheme="minorHAnsi"/>
          <w:sz w:val="22"/>
          <w:szCs w:val="22"/>
        </w:rPr>
      </w:pPr>
    </w:p>
    <w:p w14:paraId="79427717" w14:textId="77777777" w:rsidR="00D01A66" w:rsidRPr="00FB6045" w:rsidRDefault="00D01A66" w:rsidP="00D01A66">
      <w:pPr>
        <w:pStyle w:val="NormalBodyText"/>
        <w:spacing w:after="0"/>
        <w:ind w:firstLine="0"/>
        <w:rPr>
          <w:rFonts w:asciiTheme="minorHAnsi" w:hAnsiTheme="minorHAnsi"/>
          <w:sz w:val="22"/>
          <w:szCs w:val="22"/>
        </w:rPr>
      </w:pPr>
    </w:p>
    <w:p w14:paraId="05DFB3C8" w14:textId="77777777" w:rsidR="00D01A66" w:rsidRPr="00FB6045" w:rsidRDefault="00D01A66" w:rsidP="00D01A66">
      <w:pPr>
        <w:pStyle w:val="NormalBodyText"/>
        <w:spacing w:after="0"/>
        <w:ind w:firstLine="0"/>
        <w:rPr>
          <w:rFonts w:asciiTheme="minorHAnsi" w:hAnsiTheme="minorHAnsi"/>
          <w:sz w:val="22"/>
          <w:szCs w:val="22"/>
        </w:rPr>
      </w:pPr>
    </w:p>
    <w:p w14:paraId="7200AE09" w14:textId="77777777" w:rsidR="00D01A66" w:rsidRPr="00FB6045" w:rsidRDefault="00D01A66" w:rsidP="00D01A66">
      <w:pPr>
        <w:pStyle w:val="NormalBodyText"/>
        <w:spacing w:after="0"/>
        <w:ind w:firstLine="0"/>
        <w:rPr>
          <w:rFonts w:asciiTheme="minorHAnsi" w:hAnsiTheme="minorHAnsi"/>
          <w:sz w:val="22"/>
          <w:szCs w:val="22"/>
        </w:rPr>
      </w:pPr>
    </w:p>
    <w:p w14:paraId="1F2179D2" w14:textId="77777777" w:rsidR="00D01A66" w:rsidRPr="00FB6045" w:rsidRDefault="00D01A66" w:rsidP="00D01A66">
      <w:pPr>
        <w:pStyle w:val="NormalBodyText"/>
        <w:spacing w:after="0"/>
        <w:ind w:firstLine="0"/>
        <w:rPr>
          <w:rFonts w:asciiTheme="minorHAnsi" w:hAnsiTheme="minorHAnsi"/>
          <w:sz w:val="22"/>
          <w:szCs w:val="22"/>
        </w:rPr>
      </w:pPr>
    </w:p>
    <w:p w14:paraId="624B2C27" w14:textId="77777777" w:rsidR="00D01A66" w:rsidRPr="00FB6045" w:rsidRDefault="00D01A66" w:rsidP="00D01A66">
      <w:pPr>
        <w:pStyle w:val="NormalBodyText"/>
        <w:spacing w:after="0"/>
        <w:ind w:firstLine="0"/>
        <w:rPr>
          <w:rFonts w:asciiTheme="minorHAnsi" w:hAnsiTheme="minorHAnsi"/>
          <w:sz w:val="22"/>
          <w:szCs w:val="22"/>
        </w:rPr>
      </w:pPr>
    </w:p>
    <w:p w14:paraId="78E9BD37" w14:textId="77777777" w:rsidR="00D01A66" w:rsidRPr="00FB6045" w:rsidRDefault="00D01A66" w:rsidP="00D01A66">
      <w:pPr>
        <w:pStyle w:val="NormalBodyText"/>
        <w:spacing w:after="0"/>
        <w:ind w:firstLine="0"/>
        <w:rPr>
          <w:rFonts w:asciiTheme="minorHAnsi" w:hAnsiTheme="minorHAnsi"/>
          <w:sz w:val="22"/>
          <w:szCs w:val="22"/>
        </w:rPr>
      </w:pPr>
    </w:p>
    <w:p w14:paraId="3A0CDA25" w14:textId="77777777" w:rsidR="00D01A66" w:rsidRPr="00FB6045" w:rsidRDefault="00D01A66" w:rsidP="00D01A66">
      <w:pPr>
        <w:pStyle w:val="NormalBodyText"/>
        <w:spacing w:after="0"/>
        <w:ind w:firstLine="0"/>
        <w:rPr>
          <w:rFonts w:asciiTheme="minorHAnsi" w:hAnsiTheme="minorHAnsi"/>
          <w:sz w:val="22"/>
          <w:szCs w:val="22"/>
        </w:rPr>
      </w:pPr>
    </w:p>
    <w:p w14:paraId="1A199E54" w14:textId="77777777" w:rsidR="00D01A66" w:rsidRPr="00FB6045" w:rsidRDefault="00D01A66" w:rsidP="00D01A66">
      <w:pPr>
        <w:pStyle w:val="NormalBodyText"/>
        <w:spacing w:after="0"/>
        <w:ind w:firstLine="0"/>
        <w:rPr>
          <w:rFonts w:asciiTheme="minorHAnsi" w:hAnsiTheme="minorHAnsi"/>
          <w:sz w:val="22"/>
          <w:szCs w:val="22"/>
        </w:rPr>
      </w:pPr>
    </w:p>
    <w:p w14:paraId="63DBAAAB" w14:textId="77777777" w:rsidR="00D01A66" w:rsidRPr="00FB6045" w:rsidRDefault="00D01A66" w:rsidP="00D01A66">
      <w:pPr>
        <w:pStyle w:val="NormalBodyText"/>
        <w:spacing w:after="0"/>
        <w:ind w:firstLine="0"/>
        <w:rPr>
          <w:rFonts w:asciiTheme="minorHAnsi" w:hAnsiTheme="minorHAnsi"/>
          <w:sz w:val="22"/>
          <w:szCs w:val="22"/>
        </w:rPr>
      </w:pPr>
    </w:p>
    <w:p w14:paraId="7D2F5E20" w14:textId="77777777" w:rsidR="00D01A66" w:rsidRPr="00FB6045" w:rsidRDefault="00D01A66" w:rsidP="00D01A66">
      <w:pPr>
        <w:pStyle w:val="NormalBodyText"/>
        <w:spacing w:after="0"/>
        <w:ind w:firstLine="0"/>
        <w:rPr>
          <w:rFonts w:asciiTheme="minorHAnsi" w:hAnsiTheme="minorHAnsi"/>
          <w:sz w:val="22"/>
          <w:szCs w:val="22"/>
        </w:rPr>
      </w:pPr>
    </w:p>
    <w:p w14:paraId="1D3AE312" w14:textId="77777777" w:rsidR="00D01A66" w:rsidRPr="00FB6045" w:rsidRDefault="00D01A66" w:rsidP="00D01A66">
      <w:pPr>
        <w:pStyle w:val="NormalBodyText"/>
        <w:spacing w:after="0"/>
        <w:ind w:firstLine="0"/>
        <w:rPr>
          <w:rFonts w:asciiTheme="minorHAnsi" w:hAnsiTheme="minorHAnsi"/>
          <w:sz w:val="22"/>
          <w:szCs w:val="22"/>
        </w:rPr>
      </w:pPr>
    </w:p>
    <w:p w14:paraId="7725DD50" w14:textId="77777777" w:rsidR="00D01A66" w:rsidRPr="00FB6045" w:rsidRDefault="00D01A66" w:rsidP="00D01A66">
      <w:pPr>
        <w:pStyle w:val="NormalBodyText"/>
        <w:spacing w:after="0"/>
        <w:ind w:firstLine="0"/>
        <w:rPr>
          <w:rFonts w:asciiTheme="minorHAnsi" w:hAnsiTheme="minorHAnsi"/>
          <w:sz w:val="22"/>
          <w:szCs w:val="22"/>
        </w:rPr>
      </w:pPr>
    </w:p>
    <w:p w14:paraId="02A8339D" w14:textId="77777777" w:rsidR="00D01A66" w:rsidRPr="00FB6045" w:rsidRDefault="00D01A66" w:rsidP="00D01A66">
      <w:pPr>
        <w:pStyle w:val="NormalBodyText"/>
        <w:spacing w:after="0"/>
        <w:ind w:firstLine="0"/>
        <w:rPr>
          <w:rFonts w:asciiTheme="minorHAnsi" w:hAnsiTheme="minorHAnsi"/>
          <w:sz w:val="22"/>
          <w:szCs w:val="22"/>
        </w:rPr>
      </w:pPr>
    </w:p>
    <w:p w14:paraId="09D0B0BB" w14:textId="77777777" w:rsidR="00D01A66" w:rsidRPr="00FB6045" w:rsidRDefault="00D01A66" w:rsidP="00D01A66">
      <w:pPr>
        <w:pStyle w:val="NormalBodyText"/>
        <w:spacing w:after="0"/>
        <w:ind w:firstLine="0"/>
        <w:rPr>
          <w:rFonts w:asciiTheme="minorHAnsi" w:hAnsiTheme="minorHAnsi"/>
          <w:sz w:val="22"/>
          <w:szCs w:val="22"/>
        </w:rPr>
      </w:pPr>
    </w:p>
    <w:p w14:paraId="2618AD3C" w14:textId="77777777" w:rsidR="00D01A66" w:rsidRPr="00FB6045" w:rsidRDefault="00D01A66" w:rsidP="00D01A66">
      <w:pPr>
        <w:pStyle w:val="NormalBodyText"/>
        <w:spacing w:after="0"/>
        <w:ind w:firstLine="0"/>
        <w:rPr>
          <w:rFonts w:asciiTheme="minorHAnsi" w:hAnsiTheme="minorHAnsi"/>
          <w:sz w:val="22"/>
          <w:szCs w:val="22"/>
        </w:rPr>
      </w:pPr>
    </w:p>
    <w:p w14:paraId="1BBAA338" w14:textId="77777777" w:rsidR="00D01A66" w:rsidRPr="00FB6045" w:rsidRDefault="00D01A66" w:rsidP="00D01A66">
      <w:pPr>
        <w:pStyle w:val="NormalBodyText"/>
        <w:spacing w:after="0"/>
        <w:ind w:firstLine="0"/>
        <w:rPr>
          <w:rFonts w:asciiTheme="minorHAnsi" w:hAnsiTheme="minorHAnsi"/>
          <w:sz w:val="22"/>
          <w:szCs w:val="22"/>
        </w:rPr>
      </w:pPr>
    </w:p>
    <w:p w14:paraId="62144A0F" w14:textId="77777777" w:rsidR="00D01A66" w:rsidRPr="00FB6045" w:rsidRDefault="00D01A66" w:rsidP="00D01A66">
      <w:pPr>
        <w:pStyle w:val="NormalBodyText"/>
        <w:spacing w:after="0"/>
        <w:ind w:firstLine="0"/>
        <w:rPr>
          <w:rFonts w:asciiTheme="minorHAnsi" w:hAnsiTheme="minorHAnsi"/>
          <w:sz w:val="22"/>
          <w:szCs w:val="22"/>
        </w:rPr>
      </w:pPr>
    </w:p>
    <w:p w14:paraId="642E35BC" w14:textId="450FB4F6" w:rsidR="00D01A66" w:rsidRPr="00FB6045" w:rsidRDefault="00D01A66" w:rsidP="00D01A66">
      <w:pPr>
        <w:pStyle w:val="NormalBodyText"/>
        <w:spacing w:after="0"/>
        <w:ind w:firstLine="0"/>
        <w:rPr>
          <w:rFonts w:asciiTheme="minorHAnsi" w:hAnsiTheme="minorHAnsi"/>
          <w:sz w:val="22"/>
          <w:szCs w:val="22"/>
        </w:rPr>
      </w:pPr>
    </w:p>
    <w:p w14:paraId="5BD060C3" w14:textId="77777777" w:rsidR="00D01A66" w:rsidRPr="002B07D8" w:rsidRDefault="00D01A66" w:rsidP="00D01A66">
      <w:pPr>
        <w:rPr>
          <w:u w:val="single"/>
        </w:rPr>
      </w:pPr>
      <w:r w:rsidRPr="002B07D8">
        <w:rPr>
          <w:u w:val="single"/>
        </w:rPr>
        <w:t xml:space="preserve">This report should be cited as: </w:t>
      </w:r>
    </w:p>
    <w:p w14:paraId="641CEF28" w14:textId="592F08AB" w:rsidR="00D01A66" w:rsidRPr="00FB6045" w:rsidRDefault="00D01A66" w:rsidP="00D01A66">
      <w:pPr>
        <w:rPr>
          <w:b/>
        </w:rPr>
      </w:pPr>
      <w:r>
        <w:t>Sutula</w:t>
      </w:r>
      <w:r w:rsidR="007A42C1">
        <w:t>,</w:t>
      </w:r>
      <w:r>
        <w:t xml:space="preserve"> M. </w:t>
      </w:r>
      <w:r w:rsidR="002B07D8">
        <w:t>October 2018 Draft</w:t>
      </w:r>
      <w:r w:rsidR="007A42C1">
        <w:t>.</w:t>
      </w:r>
      <w:r w:rsidRPr="00D01A66">
        <w:t xml:space="preserve"> Approach to Assessment, Prevention and Management of Biostimulatory Impacts to California Estuaries, Enclosed Bays, and Inland Waterbodies</w:t>
      </w:r>
      <w:r w:rsidRPr="00FB6045">
        <w:t xml:space="preserve">. Technical Report </w:t>
      </w:r>
      <w:r>
        <w:t>871</w:t>
      </w:r>
      <w:r w:rsidRPr="00FB6045">
        <w:t xml:space="preserve">. </w:t>
      </w:r>
      <w:r w:rsidR="007A42C1" w:rsidRPr="00FB6045">
        <w:t>Southern California Coastal Water Research Project</w:t>
      </w:r>
      <w:r w:rsidR="007A42C1">
        <w:t>.</w:t>
      </w:r>
      <w:r w:rsidR="007A42C1" w:rsidRPr="00FB6045">
        <w:t xml:space="preserve"> </w:t>
      </w:r>
      <w:r>
        <w:t>Costa Mesa, CA</w:t>
      </w:r>
      <w:r w:rsidRPr="00FB6045">
        <w:t xml:space="preserve">. </w:t>
      </w:r>
    </w:p>
    <w:p w14:paraId="13DAE387" w14:textId="77777777" w:rsidR="008A388C" w:rsidRDefault="008A388C" w:rsidP="008A388C"/>
    <w:p w14:paraId="4F576764" w14:textId="77777777" w:rsidR="008A388C" w:rsidRDefault="008A388C" w:rsidP="008A388C">
      <w:pPr>
        <w:pStyle w:val="Heading1"/>
      </w:pPr>
      <w:bookmarkStart w:id="3" w:name="_Toc525589887"/>
      <w:bookmarkStart w:id="4" w:name="_Toc525595039"/>
      <w:bookmarkStart w:id="5" w:name="_Toc526196675"/>
      <w:r>
        <w:t>Executive Summary</w:t>
      </w:r>
      <w:bookmarkEnd w:id="3"/>
      <w:bookmarkEnd w:id="4"/>
      <w:bookmarkEnd w:id="5"/>
    </w:p>
    <w:p w14:paraId="2596E2D1" w14:textId="7377830D" w:rsidR="007F6AEB" w:rsidRDefault="008A388C" w:rsidP="007F6AEB">
      <w:pPr>
        <w:jc w:val="both"/>
      </w:pPr>
      <w:bookmarkStart w:id="6" w:name="_1fob9te" w:colFirst="0" w:colLast="0"/>
      <w:bookmarkEnd w:id="6"/>
      <w:r>
        <w:t>Nitrogen (N) and phosphorus (P) overenrichment is a leading cause of eutrophication, defined as the accelerated accumulation of organic matter within an aquatic ecosystem. Other anthropogenic factors, such as hydromodification, altered water temperature, and light availability from developing landscapes can also cause or exacerbate cultural eutrophication. Scientific literature has demonstrated the shortcomings of using ambient nutrient concentration criteria alone to protect against eutrophication. The California State Water Resources Control and the Regional Water Quality Control Boards (Water Boards) have an alternative approach to regulating eutrophication through “biostimulatory” water quality objectives (WQO). As used here, “biostimulatory” refers to substances such as nutrients (i.e.</w:t>
      </w:r>
      <w:r w:rsidR="00C929E5">
        <w:t>,</w:t>
      </w:r>
      <w:r>
        <w:t xml:space="preserve"> nitrogen, phosphorus, and associated organic matter) or conditions, such as altered temperature, hydrology, etc. that can cause eutrophication.  While all Regional Water Boards have a narrative biostimulatory objective in their Regional Basin Plans, no consistent guidance exists to interpret the narrative objective to assess eutrophication and beneficial use support in specific waterbodies, guide the prevention and management of eutrophication through permits or other Water Board actions, or to guide nutrient management actions across the state. </w:t>
      </w:r>
    </w:p>
    <w:p w14:paraId="67264DC1" w14:textId="5C8771B4" w:rsidR="008A388C" w:rsidRDefault="008A388C" w:rsidP="007F6AEB">
      <w:pPr>
        <w:jc w:val="both"/>
      </w:pPr>
      <w:r>
        <w:t xml:space="preserve">To address this issue, the State Water Board is proposing to adopt a statewide WQO for Biostimulatory Substances and a program to implement it, as an amendment to the Water Quality Control Plan for Inland Surface Water, Enclosed Bays and Estuaries of California. Because California is a large state and has a tremendous number and diversity of waterbodies, numeric biostimulatory guidance will be adopted in three phases.  Phase I will establish the conceptual foundation and approach supporting the interpretation of the narrative biostimulatory objective, applicable to all enclosed bays, estuaries, and inland waterbodies, and establish numeric guidance for wadeable streams.  Phase II and III will establish numeric guidance for lakes and estuaries, respectively. As a part of this amendment, the State Water Board intends to establish an Implementation Plan to protect </w:t>
      </w:r>
      <w:r w:rsidR="00C929E5">
        <w:t>biointegrity</w:t>
      </w:r>
      <w:r>
        <w:t xml:space="preserve">, which provides the conceptual basis and numeric goals, based on state-sponsored bioassessment protocols and indices for data interpretation, for the protection of aquatic life–related beneficial uses. These biointegrity goals can form the basis for biostimulatory numeric targets. </w:t>
      </w:r>
    </w:p>
    <w:p w14:paraId="4381CA91" w14:textId="1889BFB6" w:rsidR="008A388C" w:rsidRDefault="008A388C" w:rsidP="008A388C">
      <w:pPr>
        <w:jc w:val="both"/>
      </w:pPr>
      <w:r>
        <w:t xml:space="preserve">This document summarizes the scientific </w:t>
      </w:r>
      <w:r w:rsidR="006E7877">
        <w:t xml:space="preserve">principles and assumption </w:t>
      </w:r>
      <w:r>
        <w:t xml:space="preserve">underpinning the development of an overarching biostimulatory policy applicable to all water body types in the State of California, and how it supports biointegrity.  It has two intended uses. First, this document describes the general conceptual models, response and causal indicators of risk pathways by which nutrient pollution and eutrophication can impair beneficial uses. Second, it provides the </w:t>
      </w:r>
      <w:r w:rsidR="006E7877">
        <w:t xml:space="preserve">organizing assumptions and scientific principles that can form that basis </w:t>
      </w:r>
      <w:r>
        <w:t>on assessment, prevention and management of biostimulatory impacts</w:t>
      </w:r>
      <w:r w:rsidR="006E7877">
        <w:t xml:space="preserve">, consistent across </w:t>
      </w:r>
      <w:r>
        <w:t>all waterbody types (e.g.</w:t>
      </w:r>
      <w:r w:rsidR="00C929E5">
        <w:t>,</w:t>
      </w:r>
      <w:r>
        <w:t xml:space="preserve"> wadeable streams, lakes, </w:t>
      </w:r>
      <w:r w:rsidR="00C929E5">
        <w:t xml:space="preserve">and </w:t>
      </w:r>
      <w:r>
        <w:t>estuaries). The technical documents</w:t>
      </w:r>
      <w:r w:rsidR="006E7877">
        <w:t xml:space="preserve">, specific to each waterbody class, </w:t>
      </w:r>
      <w:r w:rsidR="00451625">
        <w:t xml:space="preserve">which </w:t>
      </w:r>
      <w:r>
        <w:t xml:space="preserve">can form the basis for Water Board </w:t>
      </w:r>
      <w:r w:rsidR="006E7877">
        <w:t xml:space="preserve">numeric </w:t>
      </w:r>
      <w:r>
        <w:t xml:space="preserve">guidance </w:t>
      </w:r>
      <w:r w:rsidR="006E7877">
        <w:t>(e.g.</w:t>
      </w:r>
      <w:r w:rsidR="00C929E5">
        <w:t>,</w:t>
      </w:r>
      <w:r w:rsidR="006E7877">
        <w:t xml:space="preserve"> wadeable streams, estuaries, lakes, etc.)</w:t>
      </w:r>
      <w:r w:rsidR="00451625">
        <w:t>,</w:t>
      </w:r>
      <w:r w:rsidR="006E7877">
        <w:t xml:space="preserve"> </w:t>
      </w:r>
      <w:r>
        <w:t xml:space="preserve">will be published as appendices to this main document as they become available. </w:t>
      </w:r>
    </w:p>
    <w:p w14:paraId="6544F444" w14:textId="77777777" w:rsidR="008A388C" w:rsidRDefault="008A388C" w:rsidP="008A388C">
      <w:pPr>
        <w:spacing w:after="0" w:line="240" w:lineRule="auto"/>
        <w:rPr>
          <w:b/>
          <w:color w:val="365F91"/>
          <w:sz w:val="28"/>
          <w:szCs w:val="28"/>
        </w:rPr>
      </w:pPr>
      <w:r>
        <w:br w:type="page"/>
      </w:r>
    </w:p>
    <w:sdt>
      <w:sdtPr>
        <w:rPr>
          <w:b w:val="0"/>
          <w:bCs w:val="0"/>
          <w:color w:val="auto"/>
          <w:sz w:val="22"/>
          <w:szCs w:val="22"/>
        </w:rPr>
        <w:id w:val="37013335"/>
        <w:docPartObj>
          <w:docPartGallery w:val="Table of Contents"/>
          <w:docPartUnique/>
        </w:docPartObj>
      </w:sdtPr>
      <w:sdtEndPr>
        <w:rPr>
          <w:noProof/>
        </w:rPr>
      </w:sdtEndPr>
      <w:sdtContent>
        <w:p w14:paraId="6ABEF8E4" w14:textId="600D80FC" w:rsidR="000C3979" w:rsidRDefault="000C3979">
          <w:pPr>
            <w:pStyle w:val="TOCHeading"/>
          </w:pPr>
          <w:r>
            <w:t>Contents</w:t>
          </w:r>
        </w:p>
        <w:p w14:paraId="3A3B35A2" w14:textId="6D6A9574" w:rsidR="00714BE2" w:rsidRDefault="000C3979">
          <w:pPr>
            <w:pStyle w:val="TOC1"/>
            <w:rPr>
              <w:rFonts w:asciiTheme="minorHAnsi" w:eastAsiaTheme="minorEastAsia" w:hAnsiTheme="minorHAnsi" w:cstheme="minorBidi"/>
              <w:b w:val="0"/>
              <w:noProof/>
              <w:lang w:bidi="ar-SA"/>
            </w:rPr>
          </w:pPr>
          <w:r>
            <w:fldChar w:fldCharType="begin"/>
          </w:r>
          <w:r>
            <w:instrText xml:space="preserve"> TOC \o "1-3" \h \z \u </w:instrText>
          </w:r>
          <w:r>
            <w:fldChar w:fldCharType="separate"/>
          </w:r>
          <w:hyperlink w:anchor="_Toc526196675" w:history="1">
            <w:r w:rsidR="00714BE2" w:rsidRPr="005A1980">
              <w:rPr>
                <w:rStyle w:val="Hyperlink"/>
                <w:noProof/>
              </w:rPr>
              <w:t>Executive Summary</w:t>
            </w:r>
            <w:r w:rsidR="00714BE2">
              <w:rPr>
                <w:noProof/>
                <w:webHidden/>
              </w:rPr>
              <w:tab/>
            </w:r>
            <w:r w:rsidR="00714BE2">
              <w:rPr>
                <w:noProof/>
                <w:webHidden/>
              </w:rPr>
              <w:fldChar w:fldCharType="begin"/>
            </w:r>
            <w:r w:rsidR="00714BE2">
              <w:rPr>
                <w:noProof/>
                <w:webHidden/>
              </w:rPr>
              <w:instrText xml:space="preserve"> PAGEREF _Toc526196675 \h </w:instrText>
            </w:r>
            <w:r w:rsidR="00714BE2">
              <w:rPr>
                <w:noProof/>
                <w:webHidden/>
              </w:rPr>
            </w:r>
            <w:r w:rsidR="00714BE2">
              <w:rPr>
                <w:noProof/>
                <w:webHidden/>
              </w:rPr>
              <w:fldChar w:fldCharType="separate"/>
            </w:r>
            <w:r w:rsidR="000830B5">
              <w:rPr>
                <w:noProof/>
                <w:webHidden/>
              </w:rPr>
              <w:t>ii</w:t>
            </w:r>
            <w:r w:rsidR="00714BE2">
              <w:rPr>
                <w:noProof/>
                <w:webHidden/>
              </w:rPr>
              <w:fldChar w:fldCharType="end"/>
            </w:r>
          </w:hyperlink>
        </w:p>
        <w:p w14:paraId="0C856C55" w14:textId="3D5C4864" w:rsidR="00714BE2" w:rsidRDefault="00500768">
          <w:pPr>
            <w:pStyle w:val="TOC1"/>
            <w:rPr>
              <w:rFonts w:asciiTheme="minorHAnsi" w:eastAsiaTheme="minorEastAsia" w:hAnsiTheme="minorHAnsi" w:cstheme="minorBidi"/>
              <w:b w:val="0"/>
              <w:noProof/>
              <w:lang w:bidi="ar-SA"/>
            </w:rPr>
          </w:pPr>
          <w:hyperlink w:anchor="_Toc526196676" w:history="1">
            <w:r w:rsidR="00714BE2" w:rsidRPr="005A1980">
              <w:rPr>
                <w:rStyle w:val="Hyperlink"/>
                <w:noProof/>
              </w:rPr>
              <w:t>List of Tables</w:t>
            </w:r>
            <w:r w:rsidR="00714BE2">
              <w:rPr>
                <w:noProof/>
                <w:webHidden/>
              </w:rPr>
              <w:tab/>
            </w:r>
            <w:r w:rsidR="00714BE2">
              <w:rPr>
                <w:noProof/>
                <w:webHidden/>
              </w:rPr>
              <w:fldChar w:fldCharType="begin"/>
            </w:r>
            <w:r w:rsidR="00714BE2">
              <w:rPr>
                <w:noProof/>
                <w:webHidden/>
              </w:rPr>
              <w:instrText xml:space="preserve"> PAGEREF _Toc526196676 \h </w:instrText>
            </w:r>
            <w:r w:rsidR="00714BE2">
              <w:rPr>
                <w:noProof/>
                <w:webHidden/>
              </w:rPr>
            </w:r>
            <w:r w:rsidR="00714BE2">
              <w:rPr>
                <w:noProof/>
                <w:webHidden/>
              </w:rPr>
              <w:fldChar w:fldCharType="separate"/>
            </w:r>
            <w:r w:rsidR="000830B5">
              <w:rPr>
                <w:noProof/>
                <w:webHidden/>
              </w:rPr>
              <w:t>v</w:t>
            </w:r>
            <w:r w:rsidR="00714BE2">
              <w:rPr>
                <w:noProof/>
                <w:webHidden/>
              </w:rPr>
              <w:fldChar w:fldCharType="end"/>
            </w:r>
          </w:hyperlink>
        </w:p>
        <w:p w14:paraId="7599C29B" w14:textId="1D2322B3" w:rsidR="00714BE2" w:rsidRDefault="00500768">
          <w:pPr>
            <w:pStyle w:val="TOC1"/>
            <w:rPr>
              <w:rFonts w:asciiTheme="minorHAnsi" w:eastAsiaTheme="minorEastAsia" w:hAnsiTheme="minorHAnsi" w:cstheme="minorBidi"/>
              <w:b w:val="0"/>
              <w:noProof/>
              <w:lang w:bidi="ar-SA"/>
            </w:rPr>
          </w:pPr>
          <w:hyperlink w:anchor="_Toc526196677" w:history="1">
            <w:r w:rsidR="00714BE2" w:rsidRPr="005A1980">
              <w:rPr>
                <w:rStyle w:val="Hyperlink"/>
                <w:noProof/>
              </w:rPr>
              <w:t>List of Figures</w:t>
            </w:r>
            <w:r w:rsidR="00714BE2">
              <w:rPr>
                <w:noProof/>
                <w:webHidden/>
              </w:rPr>
              <w:tab/>
            </w:r>
            <w:r w:rsidR="00714BE2">
              <w:rPr>
                <w:noProof/>
                <w:webHidden/>
              </w:rPr>
              <w:fldChar w:fldCharType="begin"/>
            </w:r>
            <w:r w:rsidR="00714BE2">
              <w:rPr>
                <w:noProof/>
                <w:webHidden/>
              </w:rPr>
              <w:instrText xml:space="preserve"> PAGEREF _Toc526196677 \h </w:instrText>
            </w:r>
            <w:r w:rsidR="00714BE2">
              <w:rPr>
                <w:noProof/>
                <w:webHidden/>
              </w:rPr>
            </w:r>
            <w:r w:rsidR="00714BE2">
              <w:rPr>
                <w:noProof/>
                <w:webHidden/>
              </w:rPr>
              <w:fldChar w:fldCharType="separate"/>
            </w:r>
            <w:r w:rsidR="000830B5">
              <w:rPr>
                <w:noProof/>
                <w:webHidden/>
              </w:rPr>
              <w:t>i</w:t>
            </w:r>
            <w:r w:rsidR="00714BE2">
              <w:rPr>
                <w:noProof/>
                <w:webHidden/>
              </w:rPr>
              <w:fldChar w:fldCharType="end"/>
            </w:r>
          </w:hyperlink>
        </w:p>
        <w:p w14:paraId="26CBAA53" w14:textId="07FDC4C9" w:rsidR="00714BE2" w:rsidRDefault="00500768">
          <w:pPr>
            <w:pStyle w:val="TOC1"/>
            <w:rPr>
              <w:rFonts w:asciiTheme="minorHAnsi" w:eastAsiaTheme="minorEastAsia" w:hAnsiTheme="minorHAnsi" w:cstheme="minorBidi"/>
              <w:b w:val="0"/>
              <w:noProof/>
              <w:lang w:bidi="ar-SA"/>
            </w:rPr>
          </w:pPr>
          <w:hyperlink w:anchor="_Toc526196678" w:history="1">
            <w:r w:rsidR="00714BE2" w:rsidRPr="005A1980">
              <w:rPr>
                <w:rStyle w:val="Hyperlink"/>
                <w:noProof/>
              </w:rPr>
              <w:t>1.</w:t>
            </w:r>
            <w:r w:rsidR="00714BE2">
              <w:rPr>
                <w:rFonts w:asciiTheme="minorHAnsi" w:eastAsiaTheme="minorEastAsia" w:hAnsiTheme="minorHAnsi" w:cstheme="minorBidi"/>
                <w:b w:val="0"/>
                <w:noProof/>
                <w:lang w:bidi="ar-SA"/>
              </w:rPr>
              <w:tab/>
            </w:r>
            <w:r w:rsidR="00714BE2" w:rsidRPr="005A1980">
              <w:rPr>
                <w:rStyle w:val="Hyperlink"/>
                <w:noProof/>
              </w:rPr>
              <w:t>Introduction and Purpose</w:t>
            </w:r>
            <w:r w:rsidR="00714BE2">
              <w:rPr>
                <w:noProof/>
                <w:webHidden/>
              </w:rPr>
              <w:tab/>
            </w:r>
            <w:r w:rsidR="00714BE2">
              <w:rPr>
                <w:noProof/>
                <w:webHidden/>
              </w:rPr>
              <w:fldChar w:fldCharType="begin"/>
            </w:r>
            <w:r w:rsidR="00714BE2">
              <w:rPr>
                <w:noProof/>
                <w:webHidden/>
              </w:rPr>
              <w:instrText xml:space="preserve"> PAGEREF _Toc526196678 \h </w:instrText>
            </w:r>
            <w:r w:rsidR="00714BE2">
              <w:rPr>
                <w:noProof/>
                <w:webHidden/>
              </w:rPr>
            </w:r>
            <w:r w:rsidR="00714BE2">
              <w:rPr>
                <w:noProof/>
                <w:webHidden/>
              </w:rPr>
              <w:fldChar w:fldCharType="separate"/>
            </w:r>
            <w:r w:rsidR="000830B5">
              <w:rPr>
                <w:noProof/>
                <w:webHidden/>
              </w:rPr>
              <w:t>3</w:t>
            </w:r>
            <w:r w:rsidR="00714BE2">
              <w:rPr>
                <w:noProof/>
                <w:webHidden/>
              </w:rPr>
              <w:fldChar w:fldCharType="end"/>
            </w:r>
          </w:hyperlink>
        </w:p>
        <w:p w14:paraId="6E51E8EC" w14:textId="30852B0B" w:rsidR="00714BE2" w:rsidRDefault="00500768">
          <w:pPr>
            <w:pStyle w:val="TOC2"/>
            <w:tabs>
              <w:tab w:val="left" w:pos="1440"/>
            </w:tabs>
            <w:rPr>
              <w:rFonts w:asciiTheme="minorHAnsi" w:eastAsiaTheme="minorEastAsia" w:hAnsiTheme="minorHAnsi" w:cstheme="minorBidi"/>
              <w:i w:val="0"/>
              <w:lang w:bidi="ar-SA"/>
            </w:rPr>
          </w:pPr>
          <w:hyperlink w:anchor="_Toc526196679" w:history="1">
            <w:r w:rsidR="00714BE2" w:rsidRPr="005A1980">
              <w:rPr>
                <w:rStyle w:val="Hyperlink"/>
              </w:rPr>
              <w:t>1.1</w:t>
            </w:r>
            <w:r w:rsidR="00714BE2">
              <w:rPr>
                <w:rFonts w:asciiTheme="minorHAnsi" w:eastAsiaTheme="minorEastAsia" w:hAnsiTheme="minorHAnsi" w:cstheme="minorBidi"/>
                <w:i w:val="0"/>
                <w:lang w:bidi="ar-SA"/>
              </w:rPr>
              <w:tab/>
            </w:r>
            <w:r w:rsidR="00714BE2" w:rsidRPr="005A1980">
              <w:rPr>
                <w:rStyle w:val="Hyperlink"/>
              </w:rPr>
              <w:t>Introduction and Purpose of Document</w:t>
            </w:r>
            <w:r w:rsidR="00714BE2">
              <w:rPr>
                <w:webHidden/>
              </w:rPr>
              <w:tab/>
            </w:r>
            <w:r w:rsidR="00714BE2">
              <w:rPr>
                <w:webHidden/>
              </w:rPr>
              <w:fldChar w:fldCharType="begin"/>
            </w:r>
            <w:r w:rsidR="00714BE2">
              <w:rPr>
                <w:webHidden/>
              </w:rPr>
              <w:instrText xml:space="preserve"> PAGEREF _Toc526196679 \h </w:instrText>
            </w:r>
            <w:r w:rsidR="00714BE2">
              <w:rPr>
                <w:webHidden/>
              </w:rPr>
            </w:r>
            <w:r w:rsidR="00714BE2">
              <w:rPr>
                <w:webHidden/>
              </w:rPr>
              <w:fldChar w:fldCharType="separate"/>
            </w:r>
            <w:r w:rsidR="000830B5">
              <w:rPr>
                <w:webHidden/>
              </w:rPr>
              <w:t>3</w:t>
            </w:r>
            <w:r w:rsidR="00714BE2">
              <w:rPr>
                <w:webHidden/>
              </w:rPr>
              <w:fldChar w:fldCharType="end"/>
            </w:r>
          </w:hyperlink>
        </w:p>
        <w:p w14:paraId="57619D78" w14:textId="12B8BF04" w:rsidR="00714BE2" w:rsidRDefault="00500768">
          <w:pPr>
            <w:pStyle w:val="TOC1"/>
            <w:rPr>
              <w:rFonts w:asciiTheme="minorHAnsi" w:eastAsiaTheme="minorEastAsia" w:hAnsiTheme="minorHAnsi" w:cstheme="minorBidi"/>
              <w:b w:val="0"/>
              <w:noProof/>
              <w:lang w:bidi="ar-SA"/>
            </w:rPr>
          </w:pPr>
          <w:hyperlink w:anchor="_Toc526196680" w:history="1">
            <w:r w:rsidR="00714BE2" w:rsidRPr="005A1980">
              <w:rPr>
                <w:rStyle w:val="Hyperlink"/>
                <w:noProof/>
              </w:rPr>
              <w:t>2.  General Conceptual Model of Risk of Beneficial Use Impairment from Eutrophication and Linkage to Biostimulatory Substances and Conditions</w:t>
            </w:r>
            <w:r w:rsidR="00714BE2">
              <w:rPr>
                <w:noProof/>
                <w:webHidden/>
              </w:rPr>
              <w:tab/>
            </w:r>
            <w:r w:rsidR="00714BE2">
              <w:rPr>
                <w:noProof/>
                <w:webHidden/>
              </w:rPr>
              <w:fldChar w:fldCharType="begin"/>
            </w:r>
            <w:r w:rsidR="00714BE2">
              <w:rPr>
                <w:noProof/>
                <w:webHidden/>
              </w:rPr>
              <w:instrText xml:space="preserve"> PAGEREF _Toc526196680 \h </w:instrText>
            </w:r>
            <w:r w:rsidR="00714BE2">
              <w:rPr>
                <w:noProof/>
                <w:webHidden/>
              </w:rPr>
            </w:r>
            <w:r w:rsidR="00714BE2">
              <w:rPr>
                <w:noProof/>
                <w:webHidden/>
              </w:rPr>
              <w:fldChar w:fldCharType="separate"/>
            </w:r>
            <w:r w:rsidR="000830B5">
              <w:rPr>
                <w:noProof/>
                <w:webHidden/>
              </w:rPr>
              <w:t>9</w:t>
            </w:r>
            <w:r w:rsidR="00714BE2">
              <w:rPr>
                <w:noProof/>
                <w:webHidden/>
              </w:rPr>
              <w:fldChar w:fldCharType="end"/>
            </w:r>
          </w:hyperlink>
        </w:p>
        <w:p w14:paraId="56E2E89F" w14:textId="00F693CB" w:rsidR="00714BE2" w:rsidRDefault="00500768">
          <w:pPr>
            <w:pStyle w:val="TOC2"/>
            <w:rPr>
              <w:rFonts w:asciiTheme="minorHAnsi" w:eastAsiaTheme="minorEastAsia" w:hAnsiTheme="minorHAnsi" w:cstheme="minorBidi"/>
              <w:i w:val="0"/>
              <w:lang w:bidi="ar-SA"/>
            </w:rPr>
          </w:pPr>
          <w:hyperlink w:anchor="_Toc526196681" w:history="1">
            <w:r w:rsidR="00714BE2" w:rsidRPr="005A1980">
              <w:rPr>
                <w:rStyle w:val="Hyperlink"/>
              </w:rPr>
              <w:t>2.1 Typology of Surface Waters Useful for Organizing Conceptual Models</w:t>
            </w:r>
            <w:r w:rsidR="00714BE2">
              <w:rPr>
                <w:webHidden/>
              </w:rPr>
              <w:tab/>
            </w:r>
            <w:r w:rsidR="00714BE2">
              <w:rPr>
                <w:webHidden/>
              </w:rPr>
              <w:fldChar w:fldCharType="begin"/>
            </w:r>
            <w:r w:rsidR="00714BE2">
              <w:rPr>
                <w:webHidden/>
              </w:rPr>
              <w:instrText xml:space="preserve"> PAGEREF _Toc526196681 \h </w:instrText>
            </w:r>
            <w:r w:rsidR="00714BE2">
              <w:rPr>
                <w:webHidden/>
              </w:rPr>
            </w:r>
            <w:r w:rsidR="00714BE2">
              <w:rPr>
                <w:webHidden/>
              </w:rPr>
              <w:fldChar w:fldCharType="separate"/>
            </w:r>
            <w:r w:rsidR="000830B5">
              <w:rPr>
                <w:webHidden/>
              </w:rPr>
              <w:t>9</w:t>
            </w:r>
            <w:r w:rsidR="00714BE2">
              <w:rPr>
                <w:webHidden/>
              </w:rPr>
              <w:fldChar w:fldCharType="end"/>
            </w:r>
          </w:hyperlink>
        </w:p>
        <w:p w14:paraId="5A030868" w14:textId="58A553F3" w:rsidR="00714BE2" w:rsidRDefault="00500768">
          <w:pPr>
            <w:pStyle w:val="TOC2"/>
            <w:rPr>
              <w:rFonts w:asciiTheme="minorHAnsi" w:eastAsiaTheme="minorEastAsia" w:hAnsiTheme="minorHAnsi" w:cstheme="minorBidi"/>
              <w:i w:val="0"/>
              <w:lang w:bidi="ar-SA"/>
            </w:rPr>
          </w:pPr>
          <w:hyperlink w:anchor="_Toc526196682" w:history="1">
            <w:r w:rsidR="00714BE2" w:rsidRPr="005A1980">
              <w:rPr>
                <w:rStyle w:val="Hyperlink"/>
              </w:rPr>
              <w:t>2.2 Beneficial Uses</w:t>
            </w:r>
            <w:r w:rsidR="00714BE2">
              <w:rPr>
                <w:webHidden/>
              </w:rPr>
              <w:tab/>
            </w:r>
            <w:r w:rsidR="00714BE2">
              <w:rPr>
                <w:webHidden/>
              </w:rPr>
              <w:fldChar w:fldCharType="begin"/>
            </w:r>
            <w:r w:rsidR="00714BE2">
              <w:rPr>
                <w:webHidden/>
              </w:rPr>
              <w:instrText xml:space="preserve"> PAGEREF _Toc526196682 \h </w:instrText>
            </w:r>
            <w:r w:rsidR="00714BE2">
              <w:rPr>
                <w:webHidden/>
              </w:rPr>
            </w:r>
            <w:r w:rsidR="00714BE2">
              <w:rPr>
                <w:webHidden/>
              </w:rPr>
              <w:fldChar w:fldCharType="separate"/>
            </w:r>
            <w:r w:rsidR="000830B5">
              <w:rPr>
                <w:webHidden/>
              </w:rPr>
              <w:t>12</w:t>
            </w:r>
            <w:r w:rsidR="00714BE2">
              <w:rPr>
                <w:webHidden/>
              </w:rPr>
              <w:fldChar w:fldCharType="end"/>
            </w:r>
          </w:hyperlink>
        </w:p>
        <w:p w14:paraId="41666628" w14:textId="62816FE5" w:rsidR="00714BE2" w:rsidRDefault="00500768">
          <w:pPr>
            <w:pStyle w:val="TOC2"/>
            <w:rPr>
              <w:rFonts w:asciiTheme="minorHAnsi" w:eastAsiaTheme="minorEastAsia" w:hAnsiTheme="minorHAnsi" w:cstheme="minorBidi"/>
              <w:i w:val="0"/>
              <w:lang w:bidi="ar-SA"/>
            </w:rPr>
          </w:pPr>
          <w:hyperlink w:anchor="_Toc526196683" w:history="1">
            <w:r w:rsidR="00714BE2" w:rsidRPr="005A1980">
              <w:rPr>
                <w:rStyle w:val="Hyperlink"/>
              </w:rPr>
              <w:t>2.3 Conceptual Models of Eutrophication Risk Pathways and Crosswalks to Response Indicators</w:t>
            </w:r>
            <w:r w:rsidR="00714BE2">
              <w:rPr>
                <w:webHidden/>
              </w:rPr>
              <w:tab/>
            </w:r>
            <w:r w:rsidR="00714BE2">
              <w:rPr>
                <w:webHidden/>
              </w:rPr>
              <w:fldChar w:fldCharType="begin"/>
            </w:r>
            <w:r w:rsidR="00714BE2">
              <w:rPr>
                <w:webHidden/>
              </w:rPr>
              <w:instrText xml:space="preserve"> PAGEREF _Toc526196683 \h </w:instrText>
            </w:r>
            <w:r w:rsidR="00714BE2">
              <w:rPr>
                <w:webHidden/>
              </w:rPr>
            </w:r>
            <w:r w:rsidR="00714BE2">
              <w:rPr>
                <w:webHidden/>
              </w:rPr>
              <w:fldChar w:fldCharType="separate"/>
            </w:r>
            <w:r w:rsidR="000830B5">
              <w:rPr>
                <w:webHidden/>
              </w:rPr>
              <w:t>13</w:t>
            </w:r>
            <w:r w:rsidR="00714BE2">
              <w:rPr>
                <w:webHidden/>
              </w:rPr>
              <w:fldChar w:fldCharType="end"/>
            </w:r>
          </w:hyperlink>
        </w:p>
        <w:p w14:paraId="1069E759" w14:textId="334E08C5" w:rsidR="00714BE2" w:rsidRDefault="00500768">
          <w:pPr>
            <w:pStyle w:val="TOC3"/>
            <w:tabs>
              <w:tab w:val="left" w:pos="1440"/>
            </w:tabs>
            <w:rPr>
              <w:rFonts w:asciiTheme="minorHAnsi" w:eastAsiaTheme="minorEastAsia" w:hAnsiTheme="minorHAnsi" w:cstheme="minorBidi"/>
              <w:noProof/>
              <w:lang w:bidi="ar-SA"/>
            </w:rPr>
          </w:pPr>
          <w:hyperlink w:anchor="_Toc526196684" w:history="1">
            <w:r w:rsidR="00714BE2" w:rsidRPr="005A1980">
              <w:rPr>
                <w:rStyle w:val="Hyperlink"/>
                <w:noProof/>
              </w:rPr>
              <w:t>2.3.1</w:t>
            </w:r>
            <w:r w:rsidR="00714BE2">
              <w:rPr>
                <w:rFonts w:asciiTheme="minorHAnsi" w:eastAsiaTheme="minorEastAsia" w:hAnsiTheme="minorHAnsi" w:cstheme="minorBidi"/>
                <w:noProof/>
                <w:lang w:bidi="ar-SA"/>
              </w:rPr>
              <w:tab/>
            </w:r>
            <w:r w:rsidR="00714BE2" w:rsidRPr="005A1980">
              <w:rPr>
                <w:rStyle w:val="Hyperlink"/>
                <w:noProof/>
              </w:rPr>
              <w:t>Changes in Aquatic Primary Producer (APP) Community Structure</w:t>
            </w:r>
            <w:r w:rsidR="00714BE2">
              <w:rPr>
                <w:noProof/>
                <w:webHidden/>
              </w:rPr>
              <w:tab/>
            </w:r>
            <w:r w:rsidR="00714BE2">
              <w:rPr>
                <w:noProof/>
                <w:webHidden/>
              </w:rPr>
              <w:fldChar w:fldCharType="begin"/>
            </w:r>
            <w:r w:rsidR="00714BE2">
              <w:rPr>
                <w:noProof/>
                <w:webHidden/>
              </w:rPr>
              <w:instrText xml:space="preserve"> PAGEREF _Toc526196684 \h </w:instrText>
            </w:r>
            <w:r w:rsidR="00714BE2">
              <w:rPr>
                <w:noProof/>
                <w:webHidden/>
              </w:rPr>
            </w:r>
            <w:r w:rsidR="00714BE2">
              <w:rPr>
                <w:noProof/>
                <w:webHidden/>
              </w:rPr>
              <w:fldChar w:fldCharType="separate"/>
            </w:r>
            <w:r w:rsidR="000830B5">
              <w:rPr>
                <w:noProof/>
                <w:webHidden/>
              </w:rPr>
              <w:t>18</w:t>
            </w:r>
            <w:r w:rsidR="00714BE2">
              <w:rPr>
                <w:noProof/>
                <w:webHidden/>
              </w:rPr>
              <w:fldChar w:fldCharType="end"/>
            </w:r>
          </w:hyperlink>
        </w:p>
        <w:p w14:paraId="49DCFA81" w14:textId="1CD05499" w:rsidR="00714BE2" w:rsidRDefault="00500768">
          <w:pPr>
            <w:pStyle w:val="TOC3"/>
            <w:tabs>
              <w:tab w:val="left" w:pos="1440"/>
            </w:tabs>
            <w:rPr>
              <w:rFonts w:asciiTheme="minorHAnsi" w:eastAsiaTheme="minorEastAsia" w:hAnsiTheme="minorHAnsi" w:cstheme="minorBidi"/>
              <w:noProof/>
              <w:lang w:bidi="ar-SA"/>
            </w:rPr>
          </w:pPr>
          <w:hyperlink w:anchor="_Toc526196685" w:history="1">
            <w:r w:rsidR="00714BE2" w:rsidRPr="005A1980">
              <w:rPr>
                <w:rStyle w:val="Hyperlink"/>
                <w:noProof/>
              </w:rPr>
              <w:t>2.3.2</w:t>
            </w:r>
            <w:r w:rsidR="00714BE2">
              <w:rPr>
                <w:rFonts w:asciiTheme="minorHAnsi" w:eastAsiaTheme="minorEastAsia" w:hAnsiTheme="minorHAnsi" w:cstheme="minorBidi"/>
                <w:noProof/>
                <w:lang w:bidi="ar-SA"/>
              </w:rPr>
              <w:tab/>
            </w:r>
            <w:r w:rsidR="00714BE2" w:rsidRPr="005A1980">
              <w:rPr>
                <w:rStyle w:val="Hyperlink"/>
                <w:noProof/>
              </w:rPr>
              <w:t>Changes in Physical Habitat, Water and Benthic Chemistry</w:t>
            </w:r>
            <w:r w:rsidR="00714BE2">
              <w:rPr>
                <w:noProof/>
                <w:webHidden/>
              </w:rPr>
              <w:tab/>
            </w:r>
            <w:r w:rsidR="00714BE2">
              <w:rPr>
                <w:noProof/>
                <w:webHidden/>
              </w:rPr>
              <w:fldChar w:fldCharType="begin"/>
            </w:r>
            <w:r w:rsidR="00714BE2">
              <w:rPr>
                <w:noProof/>
                <w:webHidden/>
              </w:rPr>
              <w:instrText xml:space="preserve"> PAGEREF _Toc526196685 \h </w:instrText>
            </w:r>
            <w:r w:rsidR="00714BE2">
              <w:rPr>
                <w:noProof/>
                <w:webHidden/>
              </w:rPr>
            </w:r>
            <w:r w:rsidR="00714BE2">
              <w:rPr>
                <w:noProof/>
                <w:webHidden/>
              </w:rPr>
              <w:fldChar w:fldCharType="separate"/>
            </w:r>
            <w:r w:rsidR="000830B5">
              <w:rPr>
                <w:noProof/>
                <w:webHidden/>
              </w:rPr>
              <w:t>21</w:t>
            </w:r>
            <w:r w:rsidR="00714BE2">
              <w:rPr>
                <w:noProof/>
                <w:webHidden/>
              </w:rPr>
              <w:fldChar w:fldCharType="end"/>
            </w:r>
          </w:hyperlink>
        </w:p>
        <w:p w14:paraId="3D82F10B" w14:textId="5C7C2B1A" w:rsidR="00714BE2" w:rsidRDefault="00500768">
          <w:pPr>
            <w:pStyle w:val="TOC3"/>
            <w:tabs>
              <w:tab w:val="left" w:pos="1440"/>
            </w:tabs>
            <w:rPr>
              <w:rFonts w:asciiTheme="minorHAnsi" w:eastAsiaTheme="minorEastAsia" w:hAnsiTheme="minorHAnsi" w:cstheme="minorBidi"/>
              <w:noProof/>
              <w:lang w:bidi="ar-SA"/>
            </w:rPr>
          </w:pPr>
          <w:hyperlink w:anchor="_Toc526196686" w:history="1">
            <w:r w:rsidR="00714BE2" w:rsidRPr="005A1980">
              <w:rPr>
                <w:rStyle w:val="Hyperlink"/>
                <w:noProof/>
              </w:rPr>
              <w:t>2.3.3</w:t>
            </w:r>
            <w:r w:rsidR="00714BE2">
              <w:rPr>
                <w:rFonts w:asciiTheme="minorHAnsi" w:eastAsiaTheme="minorEastAsia" w:hAnsiTheme="minorHAnsi" w:cstheme="minorBidi"/>
                <w:noProof/>
                <w:lang w:bidi="ar-SA"/>
              </w:rPr>
              <w:tab/>
            </w:r>
            <w:r w:rsidR="00714BE2" w:rsidRPr="005A1980">
              <w:rPr>
                <w:rStyle w:val="Hyperlink"/>
                <w:noProof/>
              </w:rPr>
              <w:t>Altered Community Composition of Secondary and Tertiary Consumers</w:t>
            </w:r>
            <w:r w:rsidR="00714BE2">
              <w:rPr>
                <w:noProof/>
                <w:webHidden/>
              </w:rPr>
              <w:tab/>
            </w:r>
            <w:r w:rsidR="00714BE2">
              <w:rPr>
                <w:noProof/>
                <w:webHidden/>
              </w:rPr>
              <w:fldChar w:fldCharType="begin"/>
            </w:r>
            <w:r w:rsidR="00714BE2">
              <w:rPr>
                <w:noProof/>
                <w:webHidden/>
              </w:rPr>
              <w:instrText xml:space="preserve"> PAGEREF _Toc526196686 \h </w:instrText>
            </w:r>
            <w:r w:rsidR="00714BE2">
              <w:rPr>
                <w:noProof/>
                <w:webHidden/>
              </w:rPr>
            </w:r>
            <w:r w:rsidR="00714BE2">
              <w:rPr>
                <w:noProof/>
                <w:webHidden/>
              </w:rPr>
              <w:fldChar w:fldCharType="separate"/>
            </w:r>
            <w:r w:rsidR="000830B5">
              <w:rPr>
                <w:noProof/>
                <w:webHidden/>
              </w:rPr>
              <w:t>23</w:t>
            </w:r>
            <w:r w:rsidR="00714BE2">
              <w:rPr>
                <w:noProof/>
                <w:webHidden/>
              </w:rPr>
              <w:fldChar w:fldCharType="end"/>
            </w:r>
          </w:hyperlink>
        </w:p>
        <w:p w14:paraId="63660617" w14:textId="4A0070FC" w:rsidR="00714BE2" w:rsidRDefault="00500768">
          <w:pPr>
            <w:pStyle w:val="TOC3"/>
            <w:rPr>
              <w:rFonts w:asciiTheme="minorHAnsi" w:eastAsiaTheme="minorEastAsia" w:hAnsiTheme="minorHAnsi" w:cstheme="minorBidi"/>
              <w:noProof/>
              <w:lang w:bidi="ar-SA"/>
            </w:rPr>
          </w:pPr>
          <w:hyperlink w:anchor="_Toc526196687" w:history="1">
            <w:r w:rsidR="00714BE2" w:rsidRPr="005A1980">
              <w:rPr>
                <w:rStyle w:val="Hyperlink"/>
                <w:noProof/>
              </w:rPr>
              <w:t>2.3.4 Impacts to Food Water Resources and Recreational Uses</w:t>
            </w:r>
            <w:r w:rsidR="00714BE2">
              <w:rPr>
                <w:noProof/>
                <w:webHidden/>
              </w:rPr>
              <w:tab/>
            </w:r>
            <w:r w:rsidR="00714BE2">
              <w:rPr>
                <w:noProof/>
                <w:webHidden/>
              </w:rPr>
              <w:fldChar w:fldCharType="begin"/>
            </w:r>
            <w:r w:rsidR="00714BE2">
              <w:rPr>
                <w:noProof/>
                <w:webHidden/>
              </w:rPr>
              <w:instrText xml:space="preserve"> PAGEREF _Toc526196687 \h </w:instrText>
            </w:r>
            <w:r w:rsidR="00714BE2">
              <w:rPr>
                <w:noProof/>
                <w:webHidden/>
              </w:rPr>
            </w:r>
            <w:r w:rsidR="00714BE2">
              <w:rPr>
                <w:noProof/>
                <w:webHidden/>
              </w:rPr>
              <w:fldChar w:fldCharType="separate"/>
            </w:r>
            <w:r w:rsidR="000830B5">
              <w:rPr>
                <w:noProof/>
                <w:webHidden/>
              </w:rPr>
              <w:t>24</w:t>
            </w:r>
            <w:r w:rsidR="00714BE2">
              <w:rPr>
                <w:noProof/>
                <w:webHidden/>
              </w:rPr>
              <w:fldChar w:fldCharType="end"/>
            </w:r>
          </w:hyperlink>
        </w:p>
        <w:p w14:paraId="5C048B0D" w14:textId="7E83CD3C" w:rsidR="00714BE2" w:rsidRDefault="00500768">
          <w:pPr>
            <w:pStyle w:val="TOC2"/>
            <w:rPr>
              <w:rFonts w:asciiTheme="minorHAnsi" w:eastAsiaTheme="minorEastAsia" w:hAnsiTheme="minorHAnsi" w:cstheme="minorBidi"/>
              <w:i w:val="0"/>
              <w:lang w:bidi="ar-SA"/>
            </w:rPr>
          </w:pPr>
          <w:hyperlink w:anchor="_Toc526196688" w:history="1">
            <w:r w:rsidR="00714BE2" w:rsidRPr="005A1980">
              <w:rPr>
                <w:rStyle w:val="Hyperlink"/>
              </w:rPr>
              <w:t>2.4 Evidence of Eutrophication Impacts to California Water bodies</w:t>
            </w:r>
            <w:r w:rsidR="00714BE2">
              <w:rPr>
                <w:webHidden/>
              </w:rPr>
              <w:tab/>
            </w:r>
            <w:r w:rsidR="00714BE2">
              <w:rPr>
                <w:webHidden/>
              </w:rPr>
              <w:fldChar w:fldCharType="begin"/>
            </w:r>
            <w:r w:rsidR="00714BE2">
              <w:rPr>
                <w:webHidden/>
              </w:rPr>
              <w:instrText xml:space="preserve"> PAGEREF _Toc526196688 \h </w:instrText>
            </w:r>
            <w:r w:rsidR="00714BE2">
              <w:rPr>
                <w:webHidden/>
              </w:rPr>
            </w:r>
            <w:r w:rsidR="00714BE2">
              <w:rPr>
                <w:webHidden/>
              </w:rPr>
              <w:fldChar w:fldCharType="separate"/>
            </w:r>
            <w:r w:rsidR="000830B5">
              <w:rPr>
                <w:webHidden/>
              </w:rPr>
              <w:t>25</w:t>
            </w:r>
            <w:r w:rsidR="00714BE2">
              <w:rPr>
                <w:webHidden/>
              </w:rPr>
              <w:fldChar w:fldCharType="end"/>
            </w:r>
          </w:hyperlink>
        </w:p>
        <w:p w14:paraId="355764BD" w14:textId="4BDB1506" w:rsidR="00714BE2" w:rsidRDefault="00500768">
          <w:pPr>
            <w:pStyle w:val="TOC3"/>
            <w:rPr>
              <w:rFonts w:asciiTheme="minorHAnsi" w:eastAsiaTheme="minorEastAsia" w:hAnsiTheme="minorHAnsi" w:cstheme="minorBidi"/>
              <w:noProof/>
              <w:lang w:bidi="ar-SA"/>
            </w:rPr>
          </w:pPr>
          <w:hyperlink w:anchor="_Toc526196689" w:history="1">
            <w:r w:rsidR="00714BE2" w:rsidRPr="005A1980">
              <w:rPr>
                <w:rStyle w:val="Hyperlink"/>
                <w:noProof/>
              </w:rPr>
              <w:t>2.4.1 Toxic Harmful Algal Bloom.</w:t>
            </w:r>
            <w:r w:rsidR="00714BE2">
              <w:rPr>
                <w:noProof/>
                <w:webHidden/>
              </w:rPr>
              <w:tab/>
            </w:r>
            <w:r w:rsidR="00714BE2">
              <w:rPr>
                <w:noProof/>
                <w:webHidden/>
              </w:rPr>
              <w:fldChar w:fldCharType="begin"/>
            </w:r>
            <w:r w:rsidR="00714BE2">
              <w:rPr>
                <w:noProof/>
                <w:webHidden/>
              </w:rPr>
              <w:instrText xml:space="preserve"> PAGEREF _Toc526196689 \h </w:instrText>
            </w:r>
            <w:r w:rsidR="00714BE2">
              <w:rPr>
                <w:noProof/>
                <w:webHidden/>
              </w:rPr>
            </w:r>
            <w:r w:rsidR="00714BE2">
              <w:rPr>
                <w:noProof/>
                <w:webHidden/>
              </w:rPr>
              <w:fldChar w:fldCharType="separate"/>
            </w:r>
            <w:r w:rsidR="000830B5">
              <w:rPr>
                <w:noProof/>
                <w:webHidden/>
              </w:rPr>
              <w:t>26</w:t>
            </w:r>
            <w:r w:rsidR="00714BE2">
              <w:rPr>
                <w:noProof/>
                <w:webHidden/>
              </w:rPr>
              <w:fldChar w:fldCharType="end"/>
            </w:r>
          </w:hyperlink>
        </w:p>
        <w:p w14:paraId="74C07987" w14:textId="7252EB83" w:rsidR="00714BE2" w:rsidRDefault="00500768">
          <w:pPr>
            <w:pStyle w:val="TOC2"/>
            <w:rPr>
              <w:rFonts w:asciiTheme="minorHAnsi" w:eastAsiaTheme="minorEastAsia" w:hAnsiTheme="minorHAnsi" w:cstheme="minorBidi"/>
              <w:i w:val="0"/>
              <w:lang w:bidi="ar-SA"/>
            </w:rPr>
          </w:pPr>
          <w:hyperlink w:anchor="_Toc526196690" w:history="1">
            <w:r w:rsidR="00714BE2" w:rsidRPr="005A1980">
              <w:rPr>
                <w:rStyle w:val="Hyperlink"/>
              </w:rPr>
              <w:t>2.5 Biostimulatory Substances and Conditions</w:t>
            </w:r>
            <w:r w:rsidR="00714BE2">
              <w:rPr>
                <w:webHidden/>
              </w:rPr>
              <w:tab/>
            </w:r>
            <w:r w:rsidR="00714BE2">
              <w:rPr>
                <w:webHidden/>
              </w:rPr>
              <w:fldChar w:fldCharType="begin"/>
            </w:r>
            <w:r w:rsidR="00714BE2">
              <w:rPr>
                <w:webHidden/>
              </w:rPr>
              <w:instrText xml:space="preserve"> PAGEREF _Toc526196690 \h </w:instrText>
            </w:r>
            <w:r w:rsidR="00714BE2">
              <w:rPr>
                <w:webHidden/>
              </w:rPr>
            </w:r>
            <w:r w:rsidR="00714BE2">
              <w:rPr>
                <w:webHidden/>
              </w:rPr>
              <w:fldChar w:fldCharType="separate"/>
            </w:r>
            <w:r w:rsidR="000830B5">
              <w:rPr>
                <w:webHidden/>
              </w:rPr>
              <w:t>31</w:t>
            </w:r>
            <w:r w:rsidR="00714BE2">
              <w:rPr>
                <w:webHidden/>
              </w:rPr>
              <w:fldChar w:fldCharType="end"/>
            </w:r>
          </w:hyperlink>
        </w:p>
        <w:p w14:paraId="17032C34" w14:textId="1ABF3D5D" w:rsidR="00714BE2" w:rsidRDefault="00500768">
          <w:pPr>
            <w:pStyle w:val="TOC3"/>
            <w:tabs>
              <w:tab w:val="left" w:pos="1440"/>
            </w:tabs>
            <w:rPr>
              <w:rFonts w:asciiTheme="minorHAnsi" w:eastAsiaTheme="minorEastAsia" w:hAnsiTheme="minorHAnsi" w:cstheme="minorBidi"/>
              <w:noProof/>
              <w:lang w:bidi="ar-SA"/>
            </w:rPr>
          </w:pPr>
          <w:hyperlink w:anchor="_Toc526196691" w:history="1">
            <w:r w:rsidR="00714BE2" w:rsidRPr="005A1980">
              <w:rPr>
                <w:rStyle w:val="Hyperlink"/>
                <w:noProof/>
              </w:rPr>
              <w:t>2.5.2</w:t>
            </w:r>
            <w:r w:rsidR="00714BE2">
              <w:rPr>
                <w:rFonts w:asciiTheme="minorHAnsi" w:eastAsiaTheme="minorEastAsia" w:hAnsiTheme="minorHAnsi" w:cstheme="minorBidi"/>
                <w:noProof/>
                <w:lang w:bidi="ar-SA"/>
              </w:rPr>
              <w:tab/>
            </w:r>
            <w:r w:rsidR="00714BE2" w:rsidRPr="005A1980">
              <w:rPr>
                <w:rStyle w:val="Hyperlink"/>
                <w:noProof/>
              </w:rPr>
              <w:t>Irradiance, Water Clarity, and Temperature</w:t>
            </w:r>
            <w:r w:rsidR="00714BE2">
              <w:rPr>
                <w:noProof/>
                <w:webHidden/>
              </w:rPr>
              <w:tab/>
            </w:r>
            <w:r w:rsidR="00714BE2">
              <w:rPr>
                <w:noProof/>
                <w:webHidden/>
              </w:rPr>
              <w:fldChar w:fldCharType="begin"/>
            </w:r>
            <w:r w:rsidR="00714BE2">
              <w:rPr>
                <w:noProof/>
                <w:webHidden/>
              </w:rPr>
              <w:instrText xml:space="preserve"> PAGEREF _Toc526196691 \h </w:instrText>
            </w:r>
            <w:r w:rsidR="00714BE2">
              <w:rPr>
                <w:noProof/>
                <w:webHidden/>
              </w:rPr>
            </w:r>
            <w:r w:rsidR="00714BE2">
              <w:rPr>
                <w:noProof/>
                <w:webHidden/>
              </w:rPr>
              <w:fldChar w:fldCharType="separate"/>
            </w:r>
            <w:r w:rsidR="000830B5">
              <w:rPr>
                <w:noProof/>
                <w:webHidden/>
              </w:rPr>
              <w:t>34</w:t>
            </w:r>
            <w:r w:rsidR="00714BE2">
              <w:rPr>
                <w:noProof/>
                <w:webHidden/>
              </w:rPr>
              <w:fldChar w:fldCharType="end"/>
            </w:r>
          </w:hyperlink>
        </w:p>
        <w:p w14:paraId="6FC3799D" w14:textId="1E28555B" w:rsidR="00714BE2" w:rsidRDefault="00500768">
          <w:pPr>
            <w:pStyle w:val="TOC3"/>
            <w:rPr>
              <w:rFonts w:asciiTheme="minorHAnsi" w:eastAsiaTheme="minorEastAsia" w:hAnsiTheme="minorHAnsi" w:cstheme="minorBidi"/>
              <w:noProof/>
              <w:lang w:bidi="ar-SA"/>
            </w:rPr>
          </w:pPr>
          <w:hyperlink w:anchor="_Toc526196692" w:history="1">
            <w:r w:rsidR="00714BE2" w:rsidRPr="005A1980">
              <w:rPr>
                <w:rStyle w:val="Hyperlink"/>
                <w:noProof/>
              </w:rPr>
              <w:t>2.5.3 Hydromodification</w:t>
            </w:r>
            <w:r w:rsidR="00714BE2">
              <w:rPr>
                <w:noProof/>
                <w:webHidden/>
              </w:rPr>
              <w:tab/>
            </w:r>
            <w:r w:rsidR="00714BE2">
              <w:rPr>
                <w:noProof/>
                <w:webHidden/>
              </w:rPr>
              <w:fldChar w:fldCharType="begin"/>
            </w:r>
            <w:r w:rsidR="00714BE2">
              <w:rPr>
                <w:noProof/>
                <w:webHidden/>
              </w:rPr>
              <w:instrText xml:space="preserve"> PAGEREF _Toc526196692 \h </w:instrText>
            </w:r>
            <w:r w:rsidR="00714BE2">
              <w:rPr>
                <w:noProof/>
                <w:webHidden/>
              </w:rPr>
            </w:r>
            <w:r w:rsidR="00714BE2">
              <w:rPr>
                <w:noProof/>
                <w:webHidden/>
              </w:rPr>
              <w:fldChar w:fldCharType="separate"/>
            </w:r>
            <w:r w:rsidR="000830B5">
              <w:rPr>
                <w:noProof/>
                <w:webHidden/>
              </w:rPr>
              <w:t>36</w:t>
            </w:r>
            <w:r w:rsidR="00714BE2">
              <w:rPr>
                <w:noProof/>
                <w:webHidden/>
              </w:rPr>
              <w:fldChar w:fldCharType="end"/>
            </w:r>
          </w:hyperlink>
        </w:p>
        <w:p w14:paraId="391D7B1D" w14:textId="3D078740" w:rsidR="00714BE2" w:rsidRDefault="00500768">
          <w:pPr>
            <w:pStyle w:val="TOC3"/>
            <w:rPr>
              <w:rFonts w:asciiTheme="minorHAnsi" w:eastAsiaTheme="minorEastAsia" w:hAnsiTheme="minorHAnsi" w:cstheme="minorBidi"/>
              <w:noProof/>
              <w:lang w:bidi="ar-SA"/>
            </w:rPr>
          </w:pPr>
          <w:hyperlink w:anchor="_Toc526196693" w:history="1">
            <w:r w:rsidR="00714BE2" w:rsidRPr="005A1980">
              <w:rPr>
                <w:rStyle w:val="Hyperlink"/>
                <w:noProof/>
              </w:rPr>
              <w:t>2.5.4   Other Biostimulatory Factors</w:t>
            </w:r>
            <w:r w:rsidR="00714BE2">
              <w:rPr>
                <w:noProof/>
                <w:webHidden/>
              </w:rPr>
              <w:tab/>
            </w:r>
            <w:r w:rsidR="00714BE2">
              <w:rPr>
                <w:noProof/>
                <w:webHidden/>
              </w:rPr>
              <w:fldChar w:fldCharType="begin"/>
            </w:r>
            <w:r w:rsidR="00714BE2">
              <w:rPr>
                <w:noProof/>
                <w:webHidden/>
              </w:rPr>
              <w:instrText xml:space="preserve"> PAGEREF _Toc526196693 \h </w:instrText>
            </w:r>
            <w:r w:rsidR="00714BE2">
              <w:rPr>
                <w:noProof/>
                <w:webHidden/>
              </w:rPr>
            </w:r>
            <w:r w:rsidR="00714BE2">
              <w:rPr>
                <w:noProof/>
                <w:webHidden/>
              </w:rPr>
              <w:fldChar w:fldCharType="separate"/>
            </w:r>
            <w:r w:rsidR="000830B5">
              <w:rPr>
                <w:noProof/>
                <w:webHidden/>
              </w:rPr>
              <w:t>38</w:t>
            </w:r>
            <w:r w:rsidR="00714BE2">
              <w:rPr>
                <w:noProof/>
                <w:webHidden/>
              </w:rPr>
              <w:fldChar w:fldCharType="end"/>
            </w:r>
          </w:hyperlink>
        </w:p>
        <w:p w14:paraId="3B08E3C6" w14:textId="79BF4DF4" w:rsidR="00714BE2" w:rsidRDefault="00500768">
          <w:pPr>
            <w:pStyle w:val="TOC3"/>
            <w:rPr>
              <w:rFonts w:asciiTheme="minorHAnsi" w:eastAsiaTheme="minorEastAsia" w:hAnsiTheme="minorHAnsi" w:cstheme="minorBidi"/>
              <w:noProof/>
              <w:lang w:bidi="ar-SA"/>
            </w:rPr>
          </w:pPr>
          <w:hyperlink w:anchor="_Toc526196694" w:history="1">
            <w:r w:rsidR="00714BE2" w:rsidRPr="005A1980">
              <w:rPr>
                <w:rStyle w:val="Hyperlink"/>
                <w:noProof/>
              </w:rPr>
              <w:t>2.5.5 Origins, Variability and Natural Background in Biostimulatory Substances and Drivers</w:t>
            </w:r>
            <w:r w:rsidR="00714BE2">
              <w:rPr>
                <w:noProof/>
                <w:webHidden/>
              </w:rPr>
              <w:tab/>
            </w:r>
            <w:r w:rsidR="00714BE2">
              <w:rPr>
                <w:noProof/>
                <w:webHidden/>
              </w:rPr>
              <w:fldChar w:fldCharType="begin"/>
            </w:r>
            <w:r w:rsidR="00714BE2">
              <w:rPr>
                <w:noProof/>
                <w:webHidden/>
              </w:rPr>
              <w:instrText xml:space="preserve"> PAGEREF _Toc526196694 \h </w:instrText>
            </w:r>
            <w:r w:rsidR="00714BE2">
              <w:rPr>
                <w:noProof/>
                <w:webHidden/>
              </w:rPr>
            </w:r>
            <w:r w:rsidR="00714BE2">
              <w:rPr>
                <w:noProof/>
                <w:webHidden/>
              </w:rPr>
              <w:fldChar w:fldCharType="separate"/>
            </w:r>
            <w:r w:rsidR="000830B5">
              <w:rPr>
                <w:noProof/>
                <w:webHidden/>
              </w:rPr>
              <w:t>38</w:t>
            </w:r>
            <w:r w:rsidR="00714BE2">
              <w:rPr>
                <w:noProof/>
                <w:webHidden/>
              </w:rPr>
              <w:fldChar w:fldCharType="end"/>
            </w:r>
          </w:hyperlink>
        </w:p>
        <w:p w14:paraId="5F16ED68" w14:textId="1F27A35F" w:rsidR="00714BE2" w:rsidRDefault="00500768">
          <w:pPr>
            <w:pStyle w:val="TOC2"/>
            <w:rPr>
              <w:rFonts w:asciiTheme="minorHAnsi" w:eastAsiaTheme="minorEastAsia" w:hAnsiTheme="minorHAnsi" w:cstheme="minorBidi"/>
              <w:i w:val="0"/>
              <w:lang w:bidi="ar-SA"/>
            </w:rPr>
          </w:pPr>
          <w:hyperlink w:anchor="_Toc526196695" w:history="1">
            <w:r w:rsidR="00714BE2" w:rsidRPr="005A1980">
              <w:rPr>
                <w:rStyle w:val="Hyperlink"/>
              </w:rPr>
              <w:t>2.6 Development of Watershed–Specific Conceptual Models of Biostimulatory Impacts</w:t>
            </w:r>
            <w:r w:rsidR="00714BE2">
              <w:rPr>
                <w:webHidden/>
              </w:rPr>
              <w:tab/>
            </w:r>
            <w:r w:rsidR="00714BE2">
              <w:rPr>
                <w:webHidden/>
              </w:rPr>
              <w:fldChar w:fldCharType="begin"/>
            </w:r>
            <w:r w:rsidR="00714BE2">
              <w:rPr>
                <w:webHidden/>
              </w:rPr>
              <w:instrText xml:space="preserve"> PAGEREF _Toc526196695 \h </w:instrText>
            </w:r>
            <w:r w:rsidR="00714BE2">
              <w:rPr>
                <w:webHidden/>
              </w:rPr>
            </w:r>
            <w:r w:rsidR="00714BE2">
              <w:rPr>
                <w:webHidden/>
              </w:rPr>
              <w:fldChar w:fldCharType="separate"/>
            </w:r>
            <w:r w:rsidR="000830B5">
              <w:rPr>
                <w:webHidden/>
              </w:rPr>
              <w:t>38</w:t>
            </w:r>
            <w:r w:rsidR="00714BE2">
              <w:rPr>
                <w:webHidden/>
              </w:rPr>
              <w:fldChar w:fldCharType="end"/>
            </w:r>
          </w:hyperlink>
        </w:p>
        <w:p w14:paraId="0D9E9DC1" w14:textId="4BE852B1" w:rsidR="00714BE2" w:rsidRDefault="00500768">
          <w:pPr>
            <w:pStyle w:val="TOC1"/>
            <w:rPr>
              <w:rFonts w:asciiTheme="minorHAnsi" w:eastAsiaTheme="minorEastAsia" w:hAnsiTheme="minorHAnsi" w:cstheme="minorBidi"/>
              <w:b w:val="0"/>
              <w:noProof/>
              <w:lang w:bidi="ar-SA"/>
            </w:rPr>
          </w:pPr>
          <w:hyperlink w:anchor="_Toc526196696" w:history="1">
            <w:r w:rsidR="00714BE2" w:rsidRPr="005A1980">
              <w:rPr>
                <w:rStyle w:val="Hyperlink"/>
                <w:noProof/>
              </w:rPr>
              <w:t>3.</w:t>
            </w:r>
            <w:r w:rsidR="00714BE2">
              <w:rPr>
                <w:rFonts w:asciiTheme="minorHAnsi" w:eastAsiaTheme="minorEastAsia" w:hAnsiTheme="minorHAnsi" w:cstheme="minorBidi"/>
                <w:b w:val="0"/>
                <w:noProof/>
                <w:lang w:bidi="ar-SA"/>
              </w:rPr>
              <w:tab/>
            </w:r>
            <w:r w:rsidR="00714BE2" w:rsidRPr="005A1980">
              <w:rPr>
                <w:rStyle w:val="Hyperlink"/>
                <w:noProof/>
              </w:rPr>
              <w:t>Organizing Assumptions and Scientific Principles for Assessment, Prevention and Management of Biostimulatory Impacts</w:t>
            </w:r>
            <w:r w:rsidR="00714BE2">
              <w:rPr>
                <w:noProof/>
                <w:webHidden/>
              </w:rPr>
              <w:tab/>
            </w:r>
            <w:r w:rsidR="00714BE2">
              <w:rPr>
                <w:noProof/>
                <w:webHidden/>
              </w:rPr>
              <w:fldChar w:fldCharType="begin"/>
            </w:r>
            <w:r w:rsidR="00714BE2">
              <w:rPr>
                <w:noProof/>
                <w:webHidden/>
              </w:rPr>
              <w:instrText xml:space="preserve"> PAGEREF _Toc526196696 \h </w:instrText>
            </w:r>
            <w:r w:rsidR="00714BE2">
              <w:rPr>
                <w:noProof/>
                <w:webHidden/>
              </w:rPr>
            </w:r>
            <w:r w:rsidR="00714BE2">
              <w:rPr>
                <w:noProof/>
                <w:webHidden/>
              </w:rPr>
              <w:fldChar w:fldCharType="separate"/>
            </w:r>
            <w:r w:rsidR="000830B5">
              <w:rPr>
                <w:noProof/>
                <w:webHidden/>
              </w:rPr>
              <w:t>41</w:t>
            </w:r>
            <w:r w:rsidR="00714BE2">
              <w:rPr>
                <w:noProof/>
                <w:webHidden/>
              </w:rPr>
              <w:fldChar w:fldCharType="end"/>
            </w:r>
          </w:hyperlink>
        </w:p>
        <w:p w14:paraId="1916A8F7" w14:textId="1C6D1A6F" w:rsidR="00714BE2" w:rsidRDefault="00500768">
          <w:pPr>
            <w:pStyle w:val="TOC1"/>
            <w:rPr>
              <w:rFonts w:asciiTheme="minorHAnsi" w:eastAsiaTheme="minorEastAsia" w:hAnsiTheme="minorHAnsi" w:cstheme="minorBidi"/>
              <w:b w:val="0"/>
              <w:noProof/>
              <w:lang w:bidi="ar-SA"/>
            </w:rPr>
          </w:pPr>
          <w:hyperlink w:anchor="_Toc526196697" w:history="1">
            <w:r w:rsidR="00714BE2" w:rsidRPr="005A1980">
              <w:rPr>
                <w:rStyle w:val="Hyperlink"/>
                <w:noProof/>
              </w:rPr>
              <w:t>4.</w:t>
            </w:r>
            <w:r w:rsidR="00714BE2">
              <w:rPr>
                <w:rFonts w:asciiTheme="minorHAnsi" w:eastAsiaTheme="minorEastAsia" w:hAnsiTheme="minorHAnsi" w:cstheme="minorBidi"/>
                <w:b w:val="0"/>
                <w:noProof/>
                <w:lang w:bidi="ar-SA"/>
              </w:rPr>
              <w:tab/>
            </w:r>
            <w:r w:rsidR="00714BE2" w:rsidRPr="005A1980">
              <w:rPr>
                <w:rStyle w:val="Hyperlink"/>
                <w:noProof/>
              </w:rPr>
              <w:t>Summary</w:t>
            </w:r>
            <w:r w:rsidR="00714BE2">
              <w:rPr>
                <w:noProof/>
                <w:webHidden/>
              </w:rPr>
              <w:tab/>
            </w:r>
            <w:r w:rsidR="00714BE2">
              <w:rPr>
                <w:noProof/>
                <w:webHidden/>
              </w:rPr>
              <w:fldChar w:fldCharType="begin"/>
            </w:r>
            <w:r w:rsidR="00714BE2">
              <w:rPr>
                <w:noProof/>
                <w:webHidden/>
              </w:rPr>
              <w:instrText xml:space="preserve"> PAGEREF _Toc526196697 \h </w:instrText>
            </w:r>
            <w:r w:rsidR="00714BE2">
              <w:rPr>
                <w:noProof/>
                <w:webHidden/>
              </w:rPr>
            </w:r>
            <w:r w:rsidR="00714BE2">
              <w:rPr>
                <w:noProof/>
                <w:webHidden/>
              </w:rPr>
              <w:fldChar w:fldCharType="separate"/>
            </w:r>
            <w:r w:rsidR="000830B5">
              <w:rPr>
                <w:noProof/>
                <w:webHidden/>
              </w:rPr>
              <w:t>45</w:t>
            </w:r>
            <w:r w:rsidR="00714BE2">
              <w:rPr>
                <w:noProof/>
                <w:webHidden/>
              </w:rPr>
              <w:fldChar w:fldCharType="end"/>
            </w:r>
          </w:hyperlink>
        </w:p>
        <w:p w14:paraId="155CD9E2" w14:textId="0101028E" w:rsidR="00714BE2" w:rsidRDefault="00500768">
          <w:pPr>
            <w:pStyle w:val="TOC1"/>
            <w:rPr>
              <w:rFonts w:asciiTheme="minorHAnsi" w:eastAsiaTheme="minorEastAsia" w:hAnsiTheme="minorHAnsi" w:cstheme="minorBidi"/>
              <w:b w:val="0"/>
              <w:noProof/>
              <w:lang w:bidi="ar-SA"/>
            </w:rPr>
          </w:pPr>
          <w:hyperlink w:anchor="_Toc526196698" w:history="1">
            <w:r w:rsidR="00714BE2" w:rsidRPr="005A1980">
              <w:rPr>
                <w:rStyle w:val="Hyperlink"/>
                <w:noProof/>
              </w:rPr>
              <w:t>5.</w:t>
            </w:r>
            <w:r w:rsidR="00714BE2">
              <w:rPr>
                <w:rFonts w:asciiTheme="minorHAnsi" w:eastAsiaTheme="minorEastAsia" w:hAnsiTheme="minorHAnsi" w:cstheme="minorBidi"/>
                <w:b w:val="0"/>
                <w:noProof/>
                <w:lang w:bidi="ar-SA"/>
              </w:rPr>
              <w:tab/>
            </w:r>
            <w:r w:rsidR="00714BE2" w:rsidRPr="005A1980">
              <w:rPr>
                <w:rStyle w:val="Hyperlink"/>
                <w:noProof/>
              </w:rPr>
              <w:t>References</w:t>
            </w:r>
            <w:r w:rsidR="00714BE2">
              <w:rPr>
                <w:noProof/>
                <w:webHidden/>
              </w:rPr>
              <w:tab/>
            </w:r>
            <w:r w:rsidR="00714BE2">
              <w:rPr>
                <w:noProof/>
                <w:webHidden/>
              </w:rPr>
              <w:fldChar w:fldCharType="begin"/>
            </w:r>
            <w:r w:rsidR="00714BE2">
              <w:rPr>
                <w:noProof/>
                <w:webHidden/>
              </w:rPr>
              <w:instrText xml:space="preserve"> PAGEREF _Toc526196698 \h </w:instrText>
            </w:r>
            <w:r w:rsidR="00714BE2">
              <w:rPr>
                <w:noProof/>
                <w:webHidden/>
              </w:rPr>
            </w:r>
            <w:r w:rsidR="00714BE2">
              <w:rPr>
                <w:noProof/>
                <w:webHidden/>
              </w:rPr>
              <w:fldChar w:fldCharType="separate"/>
            </w:r>
            <w:r w:rsidR="000830B5">
              <w:rPr>
                <w:b w:val="0"/>
                <w:bCs/>
                <w:noProof/>
                <w:webHidden/>
              </w:rPr>
              <w:t>Error! Bookmark not defined.</w:t>
            </w:r>
            <w:r w:rsidR="00714BE2">
              <w:rPr>
                <w:noProof/>
                <w:webHidden/>
              </w:rPr>
              <w:fldChar w:fldCharType="end"/>
            </w:r>
          </w:hyperlink>
        </w:p>
        <w:p w14:paraId="261F77E3" w14:textId="0555F65D" w:rsidR="00714BE2" w:rsidRDefault="00500768">
          <w:pPr>
            <w:pStyle w:val="TOC1"/>
            <w:tabs>
              <w:tab w:val="left" w:pos="1440"/>
            </w:tabs>
            <w:rPr>
              <w:rFonts w:asciiTheme="minorHAnsi" w:eastAsiaTheme="minorEastAsia" w:hAnsiTheme="minorHAnsi" w:cstheme="minorBidi"/>
              <w:b w:val="0"/>
              <w:noProof/>
              <w:lang w:bidi="ar-SA"/>
            </w:rPr>
          </w:pPr>
          <w:hyperlink w:anchor="_Toc526196699" w:history="1">
            <w:r w:rsidR="00714BE2" w:rsidRPr="005A1980">
              <w:rPr>
                <w:rStyle w:val="Hyperlink"/>
                <w:noProof/>
              </w:rPr>
              <w:t>Appendix I</w:t>
            </w:r>
            <w:r w:rsidR="00714BE2">
              <w:rPr>
                <w:rFonts w:asciiTheme="minorHAnsi" w:eastAsiaTheme="minorEastAsia" w:hAnsiTheme="minorHAnsi" w:cstheme="minorBidi"/>
                <w:b w:val="0"/>
                <w:noProof/>
                <w:lang w:bidi="ar-SA"/>
              </w:rPr>
              <w:tab/>
            </w:r>
            <w:r w:rsidR="00714BE2" w:rsidRPr="005A1980">
              <w:rPr>
                <w:rStyle w:val="Hyperlink"/>
                <w:noProof/>
              </w:rPr>
              <w:t>Important Definitions</w:t>
            </w:r>
            <w:r w:rsidR="00714BE2">
              <w:rPr>
                <w:noProof/>
                <w:webHidden/>
              </w:rPr>
              <w:tab/>
            </w:r>
            <w:r w:rsidR="00714BE2">
              <w:rPr>
                <w:noProof/>
                <w:webHidden/>
              </w:rPr>
              <w:fldChar w:fldCharType="begin"/>
            </w:r>
            <w:r w:rsidR="00714BE2">
              <w:rPr>
                <w:noProof/>
                <w:webHidden/>
              </w:rPr>
              <w:instrText xml:space="preserve"> PAGEREF _Toc526196699 \h </w:instrText>
            </w:r>
            <w:r w:rsidR="00714BE2">
              <w:rPr>
                <w:noProof/>
                <w:webHidden/>
              </w:rPr>
            </w:r>
            <w:r w:rsidR="00714BE2">
              <w:rPr>
                <w:noProof/>
                <w:webHidden/>
              </w:rPr>
              <w:fldChar w:fldCharType="separate"/>
            </w:r>
            <w:r w:rsidR="000830B5">
              <w:rPr>
                <w:noProof/>
                <w:webHidden/>
              </w:rPr>
              <w:t>59</w:t>
            </w:r>
            <w:r w:rsidR="00714BE2">
              <w:rPr>
                <w:noProof/>
                <w:webHidden/>
              </w:rPr>
              <w:fldChar w:fldCharType="end"/>
            </w:r>
          </w:hyperlink>
        </w:p>
        <w:p w14:paraId="3B5F2EBA" w14:textId="55265296" w:rsidR="000C3979" w:rsidRDefault="000C3979">
          <w:r>
            <w:rPr>
              <w:b/>
              <w:bCs/>
              <w:noProof/>
            </w:rPr>
            <w:fldChar w:fldCharType="end"/>
          </w:r>
        </w:p>
      </w:sdtContent>
    </w:sdt>
    <w:p w14:paraId="231FB40F" w14:textId="77777777" w:rsidR="008A388C" w:rsidRDefault="008A388C" w:rsidP="008A388C"/>
    <w:p w14:paraId="124B7B7E" w14:textId="77777777" w:rsidR="008A388C" w:rsidRDefault="008A388C" w:rsidP="008A388C"/>
    <w:p w14:paraId="7C4B64D0" w14:textId="77777777" w:rsidR="000C3979" w:rsidRDefault="000C3979" w:rsidP="000C3979">
      <w:pPr>
        <w:pStyle w:val="Heading1"/>
      </w:pPr>
      <w:bookmarkStart w:id="7" w:name="_Toc525589888"/>
      <w:bookmarkStart w:id="8" w:name="_Toc525595040"/>
      <w:bookmarkStart w:id="9" w:name="_Toc526196676"/>
      <w:r>
        <w:t>List of Tables</w:t>
      </w:r>
      <w:bookmarkStart w:id="10" w:name="_Toc525589889"/>
      <w:bookmarkEnd w:id="7"/>
      <w:bookmarkEnd w:id="8"/>
      <w:bookmarkEnd w:id="9"/>
    </w:p>
    <w:p w14:paraId="49A49DA5" w14:textId="63EB6B95" w:rsidR="00184564" w:rsidRDefault="000C3979" w:rsidP="00184564">
      <w:pPr>
        <w:pStyle w:val="TableofFigures"/>
        <w:tabs>
          <w:tab w:val="right" w:leader="dot" w:pos="9350"/>
        </w:tabs>
        <w:spacing w:after="120"/>
        <w:rPr>
          <w:rFonts w:asciiTheme="minorHAnsi" w:eastAsiaTheme="minorEastAsia" w:hAnsiTheme="minorHAnsi" w:cstheme="minorBidi"/>
          <w:noProof/>
          <w:lang w:bidi="ar-SA"/>
        </w:rPr>
      </w:pPr>
      <w:r>
        <w:fldChar w:fldCharType="begin"/>
      </w:r>
      <w:r>
        <w:instrText xml:space="preserve"> TOC \f F \h \z \t "TOT" \c </w:instrText>
      </w:r>
      <w:r>
        <w:fldChar w:fldCharType="separate"/>
      </w:r>
      <w:hyperlink w:anchor="_Toc526428305" w:history="1">
        <w:r w:rsidR="00184564" w:rsidRPr="007A29C5">
          <w:rPr>
            <w:rStyle w:val="Hyperlink"/>
            <w:rFonts w:cstheme="minorHAnsi"/>
            <w:noProof/>
          </w:rPr>
          <w:t>Table 1.1. Acres of Water Bodies Impaired by Region by Waterbody Type (California Integrated Report 2014/2016). www.waterboards.ca.gov/water_issues/programs/tmdl/integrated2014_2016.shtml</w:t>
        </w:r>
        <w:r w:rsidR="00184564">
          <w:rPr>
            <w:noProof/>
            <w:webHidden/>
          </w:rPr>
          <w:tab/>
        </w:r>
        <w:r w:rsidR="00184564">
          <w:rPr>
            <w:noProof/>
            <w:webHidden/>
          </w:rPr>
          <w:fldChar w:fldCharType="begin"/>
        </w:r>
        <w:r w:rsidR="00184564">
          <w:rPr>
            <w:noProof/>
            <w:webHidden/>
          </w:rPr>
          <w:instrText xml:space="preserve"> PAGEREF _Toc526428305 \h </w:instrText>
        </w:r>
        <w:r w:rsidR="00184564">
          <w:rPr>
            <w:noProof/>
            <w:webHidden/>
          </w:rPr>
        </w:r>
        <w:r w:rsidR="00184564">
          <w:rPr>
            <w:noProof/>
            <w:webHidden/>
          </w:rPr>
          <w:fldChar w:fldCharType="separate"/>
        </w:r>
        <w:r w:rsidR="000830B5">
          <w:rPr>
            <w:noProof/>
            <w:webHidden/>
          </w:rPr>
          <w:t>3</w:t>
        </w:r>
        <w:r w:rsidR="00184564">
          <w:rPr>
            <w:noProof/>
            <w:webHidden/>
          </w:rPr>
          <w:fldChar w:fldCharType="end"/>
        </w:r>
      </w:hyperlink>
    </w:p>
    <w:p w14:paraId="4B40A313" w14:textId="46779806" w:rsidR="00184564" w:rsidRDefault="00500768" w:rsidP="00184564">
      <w:pPr>
        <w:pStyle w:val="TableofFigures"/>
        <w:tabs>
          <w:tab w:val="right" w:leader="dot" w:pos="9350"/>
        </w:tabs>
        <w:spacing w:after="120"/>
        <w:rPr>
          <w:rFonts w:asciiTheme="minorHAnsi" w:eastAsiaTheme="minorEastAsia" w:hAnsiTheme="minorHAnsi" w:cstheme="minorBidi"/>
          <w:noProof/>
          <w:lang w:bidi="ar-SA"/>
        </w:rPr>
      </w:pPr>
      <w:hyperlink w:anchor="_Toc526428306" w:history="1">
        <w:r w:rsidR="00184564" w:rsidRPr="007A29C5">
          <w:rPr>
            <w:rStyle w:val="Hyperlink"/>
            <w:rFonts w:eastAsia="Arial"/>
            <w:noProof/>
          </w:rPr>
          <w:t xml:space="preserve">Table 1.2. </w:t>
        </w:r>
        <w:r w:rsidR="00184564" w:rsidRPr="007A29C5">
          <w:rPr>
            <w:rStyle w:val="Hyperlink"/>
            <w:noProof/>
          </w:rPr>
          <w:t>Biostimulatory objective language, fom each Regional Water Board Basin Plans</w:t>
        </w:r>
        <w:r w:rsidR="00184564">
          <w:rPr>
            <w:noProof/>
            <w:webHidden/>
          </w:rPr>
          <w:tab/>
        </w:r>
        <w:r w:rsidR="00184564">
          <w:rPr>
            <w:noProof/>
            <w:webHidden/>
          </w:rPr>
          <w:fldChar w:fldCharType="begin"/>
        </w:r>
        <w:r w:rsidR="00184564">
          <w:rPr>
            <w:noProof/>
            <w:webHidden/>
          </w:rPr>
          <w:instrText xml:space="preserve"> PAGEREF _Toc526428306 \h </w:instrText>
        </w:r>
        <w:r w:rsidR="00184564">
          <w:rPr>
            <w:noProof/>
            <w:webHidden/>
          </w:rPr>
        </w:r>
        <w:r w:rsidR="00184564">
          <w:rPr>
            <w:noProof/>
            <w:webHidden/>
          </w:rPr>
          <w:fldChar w:fldCharType="separate"/>
        </w:r>
        <w:r w:rsidR="000830B5">
          <w:rPr>
            <w:noProof/>
            <w:webHidden/>
          </w:rPr>
          <w:t>6</w:t>
        </w:r>
        <w:r w:rsidR="00184564">
          <w:rPr>
            <w:noProof/>
            <w:webHidden/>
          </w:rPr>
          <w:fldChar w:fldCharType="end"/>
        </w:r>
      </w:hyperlink>
    </w:p>
    <w:p w14:paraId="09BCEB78" w14:textId="01D59C0B" w:rsidR="00184564" w:rsidRDefault="00500768" w:rsidP="00184564">
      <w:pPr>
        <w:pStyle w:val="TableofFigures"/>
        <w:tabs>
          <w:tab w:val="right" w:leader="dot" w:pos="9350"/>
        </w:tabs>
        <w:spacing w:after="120"/>
        <w:rPr>
          <w:rFonts w:asciiTheme="minorHAnsi" w:eastAsiaTheme="minorEastAsia" w:hAnsiTheme="minorHAnsi" w:cstheme="minorBidi"/>
          <w:noProof/>
          <w:lang w:bidi="ar-SA"/>
        </w:rPr>
      </w:pPr>
      <w:hyperlink w:anchor="_Toc526428307" w:history="1">
        <w:r w:rsidR="00184564" w:rsidRPr="007A29C5">
          <w:rPr>
            <w:rStyle w:val="Hyperlink"/>
            <w:rFonts w:eastAsia="Arial"/>
            <w:noProof/>
          </w:rPr>
          <w:t>Table 1.3. The State Water Board established five guiding principles which frame the regulatory approach for the Biostimulatory-Biointegrity Project and provide important context for the science required to support policy options under consideration (State Water Board Biointegrity Work Plan 2010; State Water Board Nutrient Control Plan 2014; State Water Board Focus Group Outreach Document 2016; www.waterboards.ca.gov/water_issues/programs).</w:t>
        </w:r>
        <w:r w:rsidR="00184564">
          <w:rPr>
            <w:noProof/>
            <w:webHidden/>
          </w:rPr>
          <w:tab/>
        </w:r>
        <w:r w:rsidR="00184564">
          <w:rPr>
            <w:noProof/>
            <w:webHidden/>
          </w:rPr>
          <w:fldChar w:fldCharType="begin"/>
        </w:r>
        <w:r w:rsidR="00184564">
          <w:rPr>
            <w:noProof/>
            <w:webHidden/>
          </w:rPr>
          <w:instrText xml:space="preserve"> PAGEREF _Toc526428307 \h </w:instrText>
        </w:r>
        <w:r w:rsidR="00184564">
          <w:rPr>
            <w:noProof/>
            <w:webHidden/>
          </w:rPr>
        </w:r>
        <w:r w:rsidR="00184564">
          <w:rPr>
            <w:noProof/>
            <w:webHidden/>
          </w:rPr>
          <w:fldChar w:fldCharType="separate"/>
        </w:r>
        <w:r w:rsidR="000830B5">
          <w:rPr>
            <w:noProof/>
            <w:webHidden/>
          </w:rPr>
          <w:t>7</w:t>
        </w:r>
        <w:r w:rsidR="00184564">
          <w:rPr>
            <w:noProof/>
            <w:webHidden/>
          </w:rPr>
          <w:fldChar w:fldCharType="end"/>
        </w:r>
      </w:hyperlink>
    </w:p>
    <w:p w14:paraId="2FA20CB9" w14:textId="18665088" w:rsidR="00184564" w:rsidRDefault="00500768" w:rsidP="00184564">
      <w:pPr>
        <w:pStyle w:val="TableofFigures"/>
        <w:tabs>
          <w:tab w:val="right" w:leader="dot" w:pos="9350"/>
        </w:tabs>
        <w:spacing w:after="120"/>
        <w:rPr>
          <w:rFonts w:asciiTheme="minorHAnsi" w:eastAsiaTheme="minorEastAsia" w:hAnsiTheme="minorHAnsi" w:cstheme="minorBidi"/>
          <w:noProof/>
          <w:lang w:bidi="ar-SA"/>
        </w:rPr>
      </w:pPr>
      <w:hyperlink w:anchor="_Toc526428308" w:history="1">
        <w:r w:rsidR="00184564" w:rsidRPr="007A29C5">
          <w:rPr>
            <w:rStyle w:val="Hyperlink"/>
            <w:rFonts w:eastAsia="Arial"/>
            <w:noProof/>
          </w:rPr>
          <w:t>Table 2.1 Designated Beneficial Uses in California Surface Waters</w:t>
        </w:r>
        <w:r w:rsidR="00184564">
          <w:rPr>
            <w:noProof/>
            <w:webHidden/>
          </w:rPr>
          <w:tab/>
        </w:r>
        <w:r w:rsidR="00184564">
          <w:rPr>
            <w:noProof/>
            <w:webHidden/>
          </w:rPr>
          <w:fldChar w:fldCharType="begin"/>
        </w:r>
        <w:r w:rsidR="00184564">
          <w:rPr>
            <w:noProof/>
            <w:webHidden/>
          </w:rPr>
          <w:instrText xml:space="preserve"> PAGEREF _Toc526428308 \h </w:instrText>
        </w:r>
        <w:r w:rsidR="00184564">
          <w:rPr>
            <w:noProof/>
            <w:webHidden/>
          </w:rPr>
        </w:r>
        <w:r w:rsidR="00184564">
          <w:rPr>
            <w:noProof/>
            <w:webHidden/>
          </w:rPr>
          <w:fldChar w:fldCharType="separate"/>
        </w:r>
        <w:r w:rsidR="000830B5">
          <w:rPr>
            <w:noProof/>
            <w:webHidden/>
          </w:rPr>
          <w:t>12</w:t>
        </w:r>
        <w:r w:rsidR="00184564">
          <w:rPr>
            <w:noProof/>
            <w:webHidden/>
          </w:rPr>
          <w:fldChar w:fldCharType="end"/>
        </w:r>
      </w:hyperlink>
    </w:p>
    <w:p w14:paraId="76CEDC89" w14:textId="4347647A" w:rsidR="00184564" w:rsidRDefault="00500768" w:rsidP="00184564">
      <w:pPr>
        <w:pStyle w:val="TableofFigures"/>
        <w:tabs>
          <w:tab w:val="right" w:leader="dot" w:pos="9350"/>
        </w:tabs>
        <w:spacing w:after="120"/>
        <w:rPr>
          <w:rFonts w:asciiTheme="minorHAnsi" w:eastAsiaTheme="minorEastAsia" w:hAnsiTheme="minorHAnsi" w:cstheme="minorBidi"/>
          <w:noProof/>
          <w:lang w:bidi="ar-SA"/>
        </w:rPr>
      </w:pPr>
      <w:hyperlink w:anchor="_Toc526428309" w:history="1">
        <w:r w:rsidR="00184564" w:rsidRPr="007A29C5">
          <w:rPr>
            <w:rStyle w:val="Hyperlink"/>
            <w:rFonts w:eastAsia="Arial"/>
            <w:noProof/>
          </w:rPr>
          <w:t>Table 2.2. Most Important Risk Pathways Associated with Impairment of Sensitive Uses by Nutrient Pollution and Eutrophication. Aquatic life-related uses, ALU, are grouped to include: EST, MAR, COLD, WARM, MIGR, RARE, and SPWN beneficial uses. Birds, amphibian and terrestrial wildlife are represented under WILD, MIGR, and RARE. Poor water quality is linked to human or aquatic/wildlife uses.</w:t>
        </w:r>
        <w:r w:rsidR="00184564">
          <w:rPr>
            <w:noProof/>
            <w:webHidden/>
          </w:rPr>
          <w:tab/>
        </w:r>
        <w:r w:rsidR="00184564">
          <w:rPr>
            <w:noProof/>
            <w:webHidden/>
          </w:rPr>
          <w:fldChar w:fldCharType="begin"/>
        </w:r>
        <w:r w:rsidR="00184564">
          <w:rPr>
            <w:noProof/>
            <w:webHidden/>
          </w:rPr>
          <w:instrText xml:space="preserve"> PAGEREF _Toc526428309 \h </w:instrText>
        </w:r>
        <w:r w:rsidR="00184564">
          <w:rPr>
            <w:noProof/>
            <w:webHidden/>
          </w:rPr>
        </w:r>
        <w:r w:rsidR="00184564">
          <w:rPr>
            <w:noProof/>
            <w:webHidden/>
          </w:rPr>
          <w:fldChar w:fldCharType="separate"/>
        </w:r>
        <w:r w:rsidR="000830B5">
          <w:rPr>
            <w:noProof/>
            <w:webHidden/>
          </w:rPr>
          <w:t>16</w:t>
        </w:r>
        <w:r w:rsidR="00184564">
          <w:rPr>
            <w:noProof/>
            <w:webHidden/>
          </w:rPr>
          <w:fldChar w:fldCharType="end"/>
        </w:r>
      </w:hyperlink>
    </w:p>
    <w:p w14:paraId="78EF70F9" w14:textId="38445516" w:rsidR="00184564" w:rsidRDefault="00500768" w:rsidP="00184564">
      <w:pPr>
        <w:pStyle w:val="TableofFigures"/>
        <w:tabs>
          <w:tab w:val="right" w:leader="dot" w:pos="9350"/>
        </w:tabs>
        <w:spacing w:after="120"/>
        <w:rPr>
          <w:rFonts w:asciiTheme="minorHAnsi" w:eastAsiaTheme="minorEastAsia" w:hAnsiTheme="minorHAnsi" w:cstheme="minorBidi"/>
          <w:noProof/>
          <w:lang w:bidi="ar-SA"/>
        </w:rPr>
      </w:pPr>
      <w:hyperlink w:anchor="_Toc526428310" w:history="1">
        <w:r w:rsidR="00184564" w:rsidRPr="007A29C5">
          <w:rPr>
            <w:rStyle w:val="Hyperlink"/>
            <w:rFonts w:eastAsia="Arial"/>
            <w:noProof/>
          </w:rPr>
          <w:t>Table 2.3.  Linkage of generic indicator groups to pathways of increased risk of beneficial use impairment. Precise metric used to measure response indicator may vary by waterbody type.</w:t>
        </w:r>
        <w:r w:rsidR="00184564">
          <w:rPr>
            <w:noProof/>
            <w:webHidden/>
          </w:rPr>
          <w:tab/>
        </w:r>
        <w:r w:rsidR="00184564">
          <w:rPr>
            <w:noProof/>
            <w:webHidden/>
          </w:rPr>
          <w:fldChar w:fldCharType="begin"/>
        </w:r>
        <w:r w:rsidR="00184564">
          <w:rPr>
            <w:noProof/>
            <w:webHidden/>
          </w:rPr>
          <w:instrText xml:space="preserve"> PAGEREF _Toc526428310 \h </w:instrText>
        </w:r>
        <w:r w:rsidR="00184564">
          <w:rPr>
            <w:noProof/>
            <w:webHidden/>
          </w:rPr>
        </w:r>
        <w:r w:rsidR="00184564">
          <w:rPr>
            <w:noProof/>
            <w:webHidden/>
          </w:rPr>
          <w:fldChar w:fldCharType="separate"/>
        </w:r>
        <w:r w:rsidR="000830B5">
          <w:rPr>
            <w:noProof/>
            <w:webHidden/>
          </w:rPr>
          <w:t>17</w:t>
        </w:r>
        <w:r w:rsidR="00184564">
          <w:rPr>
            <w:noProof/>
            <w:webHidden/>
          </w:rPr>
          <w:fldChar w:fldCharType="end"/>
        </w:r>
      </w:hyperlink>
    </w:p>
    <w:p w14:paraId="14CDEE61" w14:textId="5D975197" w:rsidR="00184564" w:rsidRDefault="00500768" w:rsidP="00184564">
      <w:pPr>
        <w:pStyle w:val="TableofFigures"/>
        <w:tabs>
          <w:tab w:val="right" w:leader="dot" w:pos="9350"/>
        </w:tabs>
        <w:spacing w:after="120"/>
        <w:rPr>
          <w:rFonts w:asciiTheme="minorHAnsi" w:eastAsiaTheme="minorEastAsia" w:hAnsiTheme="minorHAnsi" w:cstheme="minorBidi"/>
          <w:noProof/>
          <w:lang w:bidi="ar-SA"/>
        </w:rPr>
      </w:pPr>
      <w:hyperlink w:anchor="_Toc526428311" w:history="1">
        <w:r w:rsidR="00184564" w:rsidRPr="007A29C5">
          <w:rPr>
            <w:rStyle w:val="Hyperlink"/>
            <w:rFonts w:eastAsia="Arial"/>
            <w:noProof/>
          </w:rPr>
          <w:t>Table 2.4. Examples of indicators of altered water column and sediment chemistry applicable to assessment of eutrophication.</w:t>
        </w:r>
        <w:r w:rsidR="00184564">
          <w:rPr>
            <w:noProof/>
            <w:webHidden/>
          </w:rPr>
          <w:tab/>
        </w:r>
        <w:r w:rsidR="00184564">
          <w:rPr>
            <w:noProof/>
            <w:webHidden/>
          </w:rPr>
          <w:fldChar w:fldCharType="begin"/>
        </w:r>
        <w:r w:rsidR="00184564">
          <w:rPr>
            <w:noProof/>
            <w:webHidden/>
          </w:rPr>
          <w:instrText xml:space="preserve"> PAGEREF _Toc526428311 \h </w:instrText>
        </w:r>
        <w:r w:rsidR="00184564">
          <w:rPr>
            <w:noProof/>
            <w:webHidden/>
          </w:rPr>
        </w:r>
        <w:r w:rsidR="00184564">
          <w:rPr>
            <w:noProof/>
            <w:webHidden/>
          </w:rPr>
          <w:fldChar w:fldCharType="separate"/>
        </w:r>
        <w:r w:rsidR="000830B5">
          <w:rPr>
            <w:noProof/>
            <w:webHidden/>
          </w:rPr>
          <w:t>23</w:t>
        </w:r>
        <w:r w:rsidR="00184564">
          <w:rPr>
            <w:noProof/>
            <w:webHidden/>
          </w:rPr>
          <w:fldChar w:fldCharType="end"/>
        </w:r>
      </w:hyperlink>
    </w:p>
    <w:p w14:paraId="3B3EC4B3" w14:textId="5CC26956" w:rsidR="00184564" w:rsidRDefault="00500768" w:rsidP="00184564">
      <w:pPr>
        <w:pStyle w:val="TableofFigures"/>
        <w:tabs>
          <w:tab w:val="right" w:leader="dot" w:pos="9350"/>
        </w:tabs>
        <w:spacing w:after="120"/>
        <w:rPr>
          <w:rFonts w:asciiTheme="minorHAnsi" w:eastAsiaTheme="minorEastAsia" w:hAnsiTheme="minorHAnsi" w:cstheme="minorBidi"/>
          <w:noProof/>
          <w:lang w:bidi="ar-SA"/>
        </w:rPr>
      </w:pPr>
      <w:hyperlink w:anchor="_Toc526428312" w:history="1">
        <w:r w:rsidR="00184564" w:rsidRPr="007A29C5">
          <w:rPr>
            <w:rStyle w:val="Hyperlink"/>
            <w:rFonts w:eastAsia="Arial"/>
            <w:noProof/>
          </w:rPr>
          <w:t>Table 2.5. CCHAB trigger levels for cyanotoxin impacts to human health (from MyWaterQualityPortal.ca.gov).</w:t>
        </w:r>
        <w:r w:rsidR="00184564">
          <w:rPr>
            <w:noProof/>
            <w:webHidden/>
          </w:rPr>
          <w:tab/>
        </w:r>
        <w:r w:rsidR="00184564">
          <w:rPr>
            <w:noProof/>
            <w:webHidden/>
          </w:rPr>
          <w:fldChar w:fldCharType="begin"/>
        </w:r>
        <w:r w:rsidR="00184564">
          <w:rPr>
            <w:noProof/>
            <w:webHidden/>
          </w:rPr>
          <w:instrText xml:space="preserve"> PAGEREF _Toc526428312 \h </w:instrText>
        </w:r>
        <w:r w:rsidR="00184564">
          <w:rPr>
            <w:noProof/>
            <w:webHidden/>
          </w:rPr>
        </w:r>
        <w:r w:rsidR="00184564">
          <w:rPr>
            <w:noProof/>
            <w:webHidden/>
          </w:rPr>
          <w:fldChar w:fldCharType="separate"/>
        </w:r>
        <w:r w:rsidR="000830B5">
          <w:rPr>
            <w:noProof/>
            <w:webHidden/>
          </w:rPr>
          <w:t>26</w:t>
        </w:r>
        <w:r w:rsidR="00184564">
          <w:rPr>
            <w:noProof/>
            <w:webHidden/>
          </w:rPr>
          <w:fldChar w:fldCharType="end"/>
        </w:r>
      </w:hyperlink>
    </w:p>
    <w:p w14:paraId="720CC91D" w14:textId="788FD213" w:rsidR="00184564" w:rsidRDefault="00500768" w:rsidP="00184564">
      <w:pPr>
        <w:pStyle w:val="TableofFigures"/>
        <w:tabs>
          <w:tab w:val="right" w:leader="dot" w:pos="9350"/>
        </w:tabs>
        <w:spacing w:after="120"/>
        <w:rPr>
          <w:rFonts w:asciiTheme="minorHAnsi" w:eastAsiaTheme="minorEastAsia" w:hAnsiTheme="minorHAnsi" w:cstheme="minorBidi"/>
          <w:noProof/>
          <w:lang w:bidi="ar-SA"/>
        </w:rPr>
      </w:pPr>
      <w:hyperlink w:anchor="_Toc526428313" w:history="1">
        <w:r w:rsidR="00184564" w:rsidRPr="007A29C5">
          <w:rPr>
            <w:rStyle w:val="Hyperlink"/>
            <w:rFonts w:eastAsia="Arial"/>
            <w:noProof/>
          </w:rPr>
          <w:t>Table 3.1. Summary of Organizing Assumptions and Scientific Principles Supporting the Assessment, Prevention and Management of Biostimulatory Impacts. These assumptions and principles are explained in more detail below. Bolded terms are defined in Appendix 1.</w:t>
        </w:r>
        <w:r w:rsidR="00184564">
          <w:rPr>
            <w:noProof/>
            <w:webHidden/>
          </w:rPr>
          <w:tab/>
        </w:r>
        <w:r w:rsidR="00184564">
          <w:rPr>
            <w:noProof/>
            <w:webHidden/>
          </w:rPr>
          <w:fldChar w:fldCharType="begin"/>
        </w:r>
        <w:r w:rsidR="00184564">
          <w:rPr>
            <w:noProof/>
            <w:webHidden/>
          </w:rPr>
          <w:instrText xml:space="preserve"> PAGEREF _Toc526428313 \h </w:instrText>
        </w:r>
        <w:r w:rsidR="00184564">
          <w:rPr>
            <w:noProof/>
            <w:webHidden/>
          </w:rPr>
        </w:r>
        <w:r w:rsidR="00184564">
          <w:rPr>
            <w:noProof/>
            <w:webHidden/>
          </w:rPr>
          <w:fldChar w:fldCharType="separate"/>
        </w:r>
        <w:r w:rsidR="000830B5">
          <w:rPr>
            <w:noProof/>
            <w:webHidden/>
          </w:rPr>
          <w:t>41</w:t>
        </w:r>
        <w:r w:rsidR="00184564">
          <w:rPr>
            <w:noProof/>
            <w:webHidden/>
          </w:rPr>
          <w:fldChar w:fldCharType="end"/>
        </w:r>
      </w:hyperlink>
    </w:p>
    <w:p w14:paraId="75C5E8F6" w14:textId="7FF3DE50" w:rsidR="000C3979" w:rsidRPr="0030518C" w:rsidRDefault="000C3979" w:rsidP="000C3979">
      <w:r>
        <w:fldChar w:fldCharType="end"/>
      </w:r>
    </w:p>
    <w:p w14:paraId="44871D67" w14:textId="77777777" w:rsidR="000C3979" w:rsidRDefault="000C3979" w:rsidP="000C3979">
      <w:pPr>
        <w:pStyle w:val="Heading1"/>
        <w:sectPr w:rsidR="000C3979" w:rsidSect="000C3979">
          <w:pgSz w:w="12240" w:h="15840"/>
          <w:pgMar w:top="1440" w:right="1440" w:bottom="1440" w:left="1440" w:header="0" w:footer="0" w:gutter="0"/>
          <w:pgNumType w:fmt="lowerRoman" w:start="1"/>
          <w:cols w:space="720"/>
        </w:sectPr>
      </w:pPr>
      <w:bookmarkStart w:id="11" w:name="_Toc525595041"/>
    </w:p>
    <w:p w14:paraId="58A6802A" w14:textId="66D58736" w:rsidR="000C3979" w:rsidRPr="00FD1CB4" w:rsidRDefault="000C3979" w:rsidP="004E165F">
      <w:pPr>
        <w:pStyle w:val="Heading1"/>
        <w:rPr>
          <w:vertAlign w:val="subscript"/>
        </w:rPr>
      </w:pPr>
      <w:bookmarkStart w:id="12" w:name="_Toc526196677"/>
      <w:r>
        <w:t>List of Figures</w:t>
      </w:r>
      <w:bookmarkEnd w:id="10"/>
      <w:bookmarkEnd w:id="11"/>
      <w:bookmarkEnd w:id="12"/>
    </w:p>
    <w:p w14:paraId="264044BF" w14:textId="2A8F975E" w:rsidR="0030768D" w:rsidRDefault="000C3979" w:rsidP="0030768D">
      <w:pPr>
        <w:pStyle w:val="TableofFigures"/>
        <w:tabs>
          <w:tab w:val="right" w:leader="dot" w:pos="9350"/>
        </w:tabs>
        <w:spacing w:after="120"/>
        <w:rPr>
          <w:rFonts w:asciiTheme="minorHAnsi" w:eastAsiaTheme="minorEastAsia" w:hAnsiTheme="minorHAnsi" w:cstheme="minorBidi"/>
          <w:noProof/>
          <w:lang w:bidi="ar-SA"/>
        </w:rPr>
      </w:pPr>
      <w:r>
        <w:fldChar w:fldCharType="begin"/>
      </w:r>
      <w:r>
        <w:instrText xml:space="preserve"> TOC \h \z \t "TOF" \c </w:instrText>
      </w:r>
      <w:r>
        <w:fldChar w:fldCharType="separate"/>
      </w:r>
      <w:hyperlink w:anchor="_Toc526197072" w:history="1">
        <w:r w:rsidR="0030768D" w:rsidRPr="00EC6700">
          <w:rPr>
            <w:rStyle w:val="Hyperlink"/>
            <w:noProof/>
          </w:rPr>
          <w:t>Figure 1.1. High algal abundance in Loma Alta Slough, Oceanside (photo from RWQCB Phosphorus TMDL), Pinto Lake, Watsonville (photo from CA waterboards), Eel River (photo by Keith Bouma-Gregson), and Klamath Dam (photo source unknown).</w:t>
        </w:r>
        <w:r w:rsidR="0030768D">
          <w:rPr>
            <w:noProof/>
            <w:webHidden/>
          </w:rPr>
          <w:tab/>
        </w:r>
        <w:r w:rsidR="0030768D">
          <w:rPr>
            <w:noProof/>
            <w:webHidden/>
          </w:rPr>
          <w:fldChar w:fldCharType="begin"/>
        </w:r>
        <w:r w:rsidR="0030768D">
          <w:rPr>
            <w:noProof/>
            <w:webHidden/>
          </w:rPr>
          <w:instrText xml:space="preserve"> PAGEREF _Toc526197072 \h </w:instrText>
        </w:r>
        <w:r w:rsidR="0030768D">
          <w:rPr>
            <w:noProof/>
            <w:webHidden/>
          </w:rPr>
        </w:r>
        <w:r w:rsidR="0030768D">
          <w:rPr>
            <w:noProof/>
            <w:webHidden/>
          </w:rPr>
          <w:fldChar w:fldCharType="separate"/>
        </w:r>
        <w:r w:rsidR="000830B5">
          <w:rPr>
            <w:noProof/>
            <w:webHidden/>
          </w:rPr>
          <w:t>4</w:t>
        </w:r>
        <w:r w:rsidR="0030768D">
          <w:rPr>
            <w:noProof/>
            <w:webHidden/>
          </w:rPr>
          <w:fldChar w:fldCharType="end"/>
        </w:r>
      </w:hyperlink>
    </w:p>
    <w:p w14:paraId="0A9A08BD" w14:textId="05F6A865" w:rsidR="0030768D" w:rsidRDefault="00500768" w:rsidP="0030768D">
      <w:pPr>
        <w:pStyle w:val="TableofFigures"/>
        <w:tabs>
          <w:tab w:val="right" w:leader="dot" w:pos="9350"/>
        </w:tabs>
        <w:spacing w:after="120"/>
        <w:rPr>
          <w:rFonts w:asciiTheme="minorHAnsi" w:eastAsiaTheme="minorEastAsia" w:hAnsiTheme="minorHAnsi" w:cstheme="minorBidi"/>
          <w:noProof/>
          <w:lang w:bidi="ar-SA"/>
        </w:rPr>
      </w:pPr>
      <w:hyperlink w:anchor="_Toc526197073" w:history="1">
        <w:r w:rsidR="0030768D" w:rsidRPr="00EC6700">
          <w:rPr>
            <w:rStyle w:val="Hyperlink"/>
            <w:rFonts w:eastAsia="Arial"/>
            <w:noProof/>
          </w:rPr>
          <w:t>Figure 1.2. Conceptual representation of biostimulatory conditions and substances that result in eutrophication. Photo from Santa Margarita River in the San Diego Region.</w:t>
        </w:r>
        <w:r w:rsidR="0030768D">
          <w:rPr>
            <w:noProof/>
            <w:webHidden/>
          </w:rPr>
          <w:tab/>
        </w:r>
        <w:r w:rsidR="0030768D">
          <w:rPr>
            <w:noProof/>
            <w:webHidden/>
          </w:rPr>
          <w:fldChar w:fldCharType="begin"/>
        </w:r>
        <w:r w:rsidR="0030768D">
          <w:rPr>
            <w:noProof/>
            <w:webHidden/>
          </w:rPr>
          <w:instrText xml:space="preserve"> PAGEREF _Toc526197073 \h </w:instrText>
        </w:r>
        <w:r w:rsidR="0030768D">
          <w:rPr>
            <w:noProof/>
            <w:webHidden/>
          </w:rPr>
        </w:r>
        <w:r w:rsidR="0030768D">
          <w:rPr>
            <w:noProof/>
            <w:webHidden/>
          </w:rPr>
          <w:fldChar w:fldCharType="separate"/>
        </w:r>
        <w:r w:rsidR="000830B5">
          <w:rPr>
            <w:noProof/>
            <w:webHidden/>
          </w:rPr>
          <w:t>5</w:t>
        </w:r>
        <w:r w:rsidR="0030768D">
          <w:rPr>
            <w:noProof/>
            <w:webHidden/>
          </w:rPr>
          <w:fldChar w:fldCharType="end"/>
        </w:r>
      </w:hyperlink>
    </w:p>
    <w:p w14:paraId="524DFAB9" w14:textId="3408276D" w:rsidR="0030768D" w:rsidRDefault="00500768" w:rsidP="0030768D">
      <w:pPr>
        <w:pStyle w:val="TableofFigures"/>
        <w:tabs>
          <w:tab w:val="right" w:leader="dot" w:pos="9350"/>
        </w:tabs>
        <w:spacing w:after="120"/>
        <w:rPr>
          <w:rFonts w:asciiTheme="minorHAnsi" w:eastAsiaTheme="minorEastAsia" w:hAnsiTheme="minorHAnsi" w:cstheme="minorBidi"/>
          <w:noProof/>
          <w:lang w:bidi="ar-SA"/>
        </w:rPr>
      </w:pPr>
      <w:hyperlink w:anchor="_Toc526197074" w:history="1">
        <w:r w:rsidR="0030768D" w:rsidRPr="00EC6700">
          <w:rPr>
            <w:rStyle w:val="Hyperlink"/>
            <w:noProof/>
          </w:rPr>
          <w:t>Figure 2.1.  Different water body typologies throughout California: Merced River in Yosemite National Park (photo by Pavel Špindler), Tomales Bay in Marin County (photo by Oleg Alexandrov), the American River in Sacramento, Waddell Creek in Big Basin State Park, Lake Tahoe spanning the California-Nevada border , and the Klamath River mouth in Del Norte County. (Photo source: Wikimedia Commons)</w:t>
        </w:r>
        <w:r w:rsidR="0030768D">
          <w:rPr>
            <w:noProof/>
            <w:webHidden/>
          </w:rPr>
          <w:tab/>
        </w:r>
        <w:r w:rsidR="0030768D">
          <w:rPr>
            <w:noProof/>
            <w:webHidden/>
          </w:rPr>
          <w:fldChar w:fldCharType="begin"/>
        </w:r>
        <w:r w:rsidR="0030768D">
          <w:rPr>
            <w:noProof/>
            <w:webHidden/>
          </w:rPr>
          <w:instrText xml:space="preserve"> PAGEREF _Toc526197074 \h </w:instrText>
        </w:r>
        <w:r w:rsidR="0030768D">
          <w:rPr>
            <w:noProof/>
            <w:webHidden/>
          </w:rPr>
        </w:r>
        <w:r w:rsidR="0030768D">
          <w:rPr>
            <w:noProof/>
            <w:webHidden/>
          </w:rPr>
          <w:fldChar w:fldCharType="separate"/>
        </w:r>
        <w:r w:rsidR="000830B5">
          <w:rPr>
            <w:noProof/>
            <w:webHidden/>
          </w:rPr>
          <w:t>10</w:t>
        </w:r>
        <w:r w:rsidR="0030768D">
          <w:rPr>
            <w:noProof/>
            <w:webHidden/>
          </w:rPr>
          <w:fldChar w:fldCharType="end"/>
        </w:r>
      </w:hyperlink>
    </w:p>
    <w:p w14:paraId="149870AA" w14:textId="41FD2B32" w:rsidR="0030768D" w:rsidRDefault="00500768" w:rsidP="0030768D">
      <w:pPr>
        <w:pStyle w:val="TableofFigures"/>
        <w:tabs>
          <w:tab w:val="right" w:leader="dot" w:pos="9350"/>
        </w:tabs>
        <w:spacing w:after="120"/>
        <w:rPr>
          <w:rFonts w:asciiTheme="minorHAnsi" w:eastAsiaTheme="minorEastAsia" w:hAnsiTheme="minorHAnsi" w:cstheme="minorBidi"/>
          <w:noProof/>
          <w:lang w:bidi="ar-SA"/>
        </w:rPr>
      </w:pPr>
      <w:hyperlink w:anchor="_Toc526197075" w:history="1">
        <w:r w:rsidR="0030768D" w:rsidRPr="00EC6700">
          <w:rPr>
            <w:rStyle w:val="Hyperlink"/>
            <w:noProof/>
          </w:rPr>
          <w:t>Figure 2.2. Examples of aquatic habitat types with mosaics of different primary producers including from top left clockwise (a) Chinook salmon admidst submerged aquatic vegetation in Big Springs Creek. Photo by Carson Jeffres/UC Davis, 2012 (b) periphyton in Antelope Creek (photo credit casalmon.org) (c) seagrass and macroalgae in Tomales Bay (National Park Service Photo) and (d) Emerald Lake showing benthic algae and phytoplankton (by Martha Sutula).</w:t>
        </w:r>
        <w:r w:rsidR="0030768D">
          <w:rPr>
            <w:noProof/>
            <w:webHidden/>
          </w:rPr>
          <w:tab/>
        </w:r>
        <w:r w:rsidR="0030768D">
          <w:rPr>
            <w:noProof/>
            <w:webHidden/>
          </w:rPr>
          <w:fldChar w:fldCharType="begin"/>
        </w:r>
        <w:r w:rsidR="0030768D">
          <w:rPr>
            <w:noProof/>
            <w:webHidden/>
          </w:rPr>
          <w:instrText xml:space="preserve"> PAGEREF _Toc526197075 \h </w:instrText>
        </w:r>
        <w:r w:rsidR="0030768D">
          <w:rPr>
            <w:noProof/>
            <w:webHidden/>
          </w:rPr>
        </w:r>
        <w:r w:rsidR="0030768D">
          <w:rPr>
            <w:noProof/>
            <w:webHidden/>
          </w:rPr>
          <w:fldChar w:fldCharType="separate"/>
        </w:r>
        <w:r w:rsidR="000830B5">
          <w:rPr>
            <w:noProof/>
            <w:webHidden/>
          </w:rPr>
          <w:t>14</w:t>
        </w:r>
        <w:r w:rsidR="0030768D">
          <w:rPr>
            <w:noProof/>
            <w:webHidden/>
          </w:rPr>
          <w:fldChar w:fldCharType="end"/>
        </w:r>
      </w:hyperlink>
    </w:p>
    <w:p w14:paraId="3726DAFD" w14:textId="4426519D" w:rsidR="0030768D" w:rsidRDefault="00500768" w:rsidP="0030768D">
      <w:pPr>
        <w:pStyle w:val="TableofFigures"/>
        <w:tabs>
          <w:tab w:val="right" w:leader="dot" w:pos="9350"/>
        </w:tabs>
        <w:spacing w:after="120"/>
        <w:rPr>
          <w:rFonts w:asciiTheme="minorHAnsi" w:eastAsiaTheme="minorEastAsia" w:hAnsiTheme="minorHAnsi" w:cstheme="minorBidi"/>
          <w:noProof/>
          <w:lang w:bidi="ar-SA"/>
        </w:rPr>
      </w:pPr>
      <w:hyperlink w:anchor="_Toc526197076" w:history="1">
        <w:r w:rsidR="0030768D" w:rsidRPr="00EC6700">
          <w:rPr>
            <w:rStyle w:val="Hyperlink"/>
            <w:rFonts w:eastAsia="Arial"/>
            <w:noProof/>
          </w:rPr>
          <w:t>Figure 2.3. Example of simplified conceptual model for pathways in which nutrients and other biostimulatory conditions result in adverse ecosystem responses, which impact ecosystem services and impair beneficial uses in water bodies</w:t>
        </w:r>
        <w:r w:rsidR="0030768D">
          <w:rPr>
            <w:noProof/>
            <w:webHidden/>
          </w:rPr>
          <w:tab/>
        </w:r>
        <w:r w:rsidR="0030768D">
          <w:rPr>
            <w:noProof/>
            <w:webHidden/>
          </w:rPr>
          <w:fldChar w:fldCharType="begin"/>
        </w:r>
        <w:r w:rsidR="0030768D">
          <w:rPr>
            <w:noProof/>
            <w:webHidden/>
          </w:rPr>
          <w:instrText xml:space="preserve"> PAGEREF _Toc526197076 \h </w:instrText>
        </w:r>
        <w:r w:rsidR="0030768D">
          <w:rPr>
            <w:noProof/>
            <w:webHidden/>
          </w:rPr>
        </w:r>
        <w:r w:rsidR="0030768D">
          <w:rPr>
            <w:noProof/>
            <w:webHidden/>
          </w:rPr>
          <w:fldChar w:fldCharType="separate"/>
        </w:r>
        <w:r w:rsidR="000830B5">
          <w:rPr>
            <w:noProof/>
            <w:webHidden/>
          </w:rPr>
          <w:t>16</w:t>
        </w:r>
        <w:r w:rsidR="0030768D">
          <w:rPr>
            <w:noProof/>
            <w:webHidden/>
          </w:rPr>
          <w:fldChar w:fldCharType="end"/>
        </w:r>
      </w:hyperlink>
    </w:p>
    <w:p w14:paraId="68ABDC59" w14:textId="176B48DA" w:rsidR="0030768D" w:rsidRDefault="00500768" w:rsidP="0030768D">
      <w:pPr>
        <w:pStyle w:val="TableofFigures"/>
        <w:tabs>
          <w:tab w:val="right" w:leader="dot" w:pos="9350"/>
        </w:tabs>
        <w:spacing w:after="120"/>
        <w:rPr>
          <w:rFonts w:asciiTheme="minorHAnsi" w:eastAsiaTheme="minorEastAsia" w:hAnsiTheme="minorHAnsi" w:cstheme="minorBidi"/>
          <w:noProof/>
          <w:lang w:bidi="ar-SA"/>
        </w:rPr>
      </w:pPr>
      <w:hyperlink w:anchor="_Toc526197077" w:history="1">
        <w:r w:rsidR="0030768D" w:rsidRPr="00EC6700">
          <w:rPr>
            <w:rStyle w:val="Hyperlink"/>
            <w:noProof/>
          </w:rPr>
          <w:t>Figure 2.4 Examples of four major primary producer groups found in tidal flats, shallow and deepwater habitat types in esuaries: macroalgae on tidal flats (top left) and floadting macroalgae in a closed lagoon (top right), seagrass (second panel, left), and Ruppia sp., a type of brackish water SAV (second panel, right), microphytobenthos (third panel left and right) and phytoplankton (bottom panel left and right). (Figure and caption from Sutula 2011).</w:t>
        </w:r>
        <w:r w:rsidR="0030768D">
          <w:rPr>
            <w:noProof/>
            <w:webHidden/>
          </w:rPr>
          <w:tab/>
        </w:r>
        <w:r w:rsidR="0030768D">
          <w:rPr>
            <w:noProof/>
            <w:webHidden/>
          </w:rPr>
          <w:fldChar w:fldCharType="begin"/>
        </w:r>
        <w:r w:rsidR="0030768D">
          <w:rPr>
            <w:noProof/>
            <w:webHidden/>
          </w:rPr>
          <w:instrText xml:space="preserve"> PAGEREF _Toc526197077 \h </w:instrText>
        </w:r>
        <w:r w:rsidR="0030768D">
          <w:rPr>
            <w:noProof/>
            <w:webHidden/>
          </w:rPr>
        </w:r>
        <w:r w:rsidR="0030768D">
          <w:rPr>
            <w:noProof/>
            <w:webHidden/>
          </w:rPr>
          <w:fldChar w:fldCharType="separate"/>
        </w:r>
        <w:r w:rsidR="000830B5">
          <w:rPr>
            <w:noProof/>
            <w:webHidden/>
          </w:rPr>
          <w:t>19</w:t>
        </w:r>
        <w:r w:rsidR="0030768D">
          <w:rPr>
            <w:noProof/>
            <w:webHidden/>
          </w:rPr>
          <w:fldChar w:fldCharType="end"/>
        </w:r>
      </w:hyperlink>
    </w:p>
    <w:p w14:paraId="24312444" w14:textId="098E3CE8" w:rsidR="0030768D" w:rsidRDefault="00500768" w:rsidP="0030768D">
      <w:pPr>
        <w:pStyle w:val="TableofFigures"/>
        <w:tabs>
          <w:tab w:val="right" w:leader="dot" w:pos="9350"/>
        </w:tabs>
        <w:spacing w:after="120"/>
        <w:rPr>
          <w:rFonts w:asciiTheme="minorHAnsi" w:eastAsiaTheme="minorEastAsia" w:hAnsiTheme="minorHAnsi" w:cstheme="minorBidi"/>
          <w:noProof/>
          <w:lang w:bidi="ar-SA"/>
        </w:rPr>
      </w:pPr>
      <w:hyperlink w:anchor="_Toc526197078" w:history="1">
        <w:r w:rsidR="0030768D" w:rsidRPr="00EC6700">
          <w:rPr>
            <w:rStyle w:val="Hyperlink"/>
            <w:rFonts w:eastAsia="Arial"/>
            <w:noProof/>
          </w:rPr>
          <w:t xml:space="preserve">Figure 2.5. Conceptual model of relationship between biostimulatory conditions and relative dominance of primary producers in California waterbodies by major habitat type: shallow water wadeable habitats (e.g. streams, intertidal or shallow water flats (a), submerged aquatic vegetation (b), and deepwater or turbid habitats (c). </w:t>
        </w:r>
        <w:r w:rsidR="0030768D" w:rsidRPr="00EC6700">
          <w:rPr>
            <w:rStyle w:val="Hyperlink"/>
            <w:noProof/>
          </w:rPr>
          <w:t>* Depends on water residence time</w:t>
        </w:r>
        <w:r w:rsidR="0030768D" w:rsidRPr="00EC6700">
          <w:rPr>
            <w:rStyle w:val="Hyperlink"/>
            <w:rFonts w:eastAsia="Arial"/>
            <w:noProof/>
          </w:rPr>
          <w:t xml:space="preserve">; </w:t>
        </w:r>
        <w:r w:rsidR="0030768D" w:rsidRPr="00EC6700">
          <w:rPr>
            <w:rStyle w:val="Hyperlink"/>
            <w:noProof/>
          </w:rPr>
          <w:t>+ Mediated by herbivory</w:t>
        </w:r>
        <w:r w:rsidR="0030768D">
          <w:rPr>
            <w:noProof/>
            <w:webHidden/>
          </w:rPr>
          <w:tab/>
        </w:r>
        <w:r w:rsidR="0030768D">
          <w:rPr>
            <w:noProof/>
            <w:webHidden/>
          </w:rPr>
          <w:fldChar w:fldCharType="begin"/>
        </w:r>
        <w:r w:rsidR="0030768D">
          <w:rPr>
            <w:noProof/>
            <w:webHidden/>
          </w:rPr>
          <w:instrText xml:space="preserve"> PAGEREF _Toc526197078 \h </w:instrText>
        </w:r>
        <w:r w:rsidR="0030768D">
          <w:rPr>
            <w:noProof/>
            <w:webHidden/>
          </w:rPr>
        </w:r>
        <w:r w:rsidR="0030768D">
          <w:rPr>
            <w:noProof/>
            <w:webHidden/>
          </w:rPr>
          <w:fldChar w:fldCharType="separate"/>
        </w:r>
        <w:r w:rsidR="000830B5">
          <w:rPr>
            <w:noProof/>
            <w:webHidden/>
          </w:rPr>
          <w:t>20</w:t>
        </w:r>
        <w:r w:rsidR="0030768D">
          <w:rPr>
            <w:noProof/>
            <w:webHidden/>
          </w:rPr>
          <w:fldChar w:fldCharType="end"/>
        </w:r>
      </w:hyperlink>
    </w:p>
    <w:p w14:paraId="0C4907B1" w14:textId="4C702DA4" w:rsidR="0030768D" w:rsidRDefault="00500768" w:rsidP="0030768D">
      <w:pPr>
        <w:pStyle w:val="TableofFigures"/>
        <w:tabs>
          <w:tab w:val="right" w:leader="dot" w:pos="9350"/>
        </w:tabs>
        <w:spacing w:after="120"/>
        <w:rPr>
          <w:rFonts w:asciiTheme="minorHAnsi" w:eastAsiaTheme="minorEastAsia" w:hAnsiTheme="minorHAnsi" w:cstheme="minorBidi"/>
          <w:noProof/>
          <w:lang w:bidi="ar-SA"/>
        </w:rPr>
      </w:pPr>
      <w:hyperlink w:anchor="_Toc526197079" w:history="1">
        <w:r w:rsidR="0030768D" w:rsidRPr="00EC6700">
          <w:rPr>
            <w:rStyle w:val="Hyperlink"/>
            <w:noProof/>
          </w:rPr>
          <w:t>Figure 2.6. An illustration of the Pearson-Rosenberg (1978) conceptual model depicting changes in macrobenthic community structure with increasing eutrophication and organic matter accumulation in the sediment. For discussion purposes, the model has been subdivided to highlight four primary condition categories associated with such increases: A – Non-eutrophic, B – Intermediate Eutrophication; C –Severe Eutrophication; and D - Anoxic bottom water and azoic sediments. (Figure and caption from Sutula 2011)</w:t>
        </w:r>
        <w:r w:rsidR="0030768D">
          <w:rPr>
            <w:noProof/>
            <w:webHidden/>
          </w:rPr>
          <w:tab/>
        </w:r>
        <w:r w:rsidR="0030768D">
          <w:rPr>
            <w:noProof/>
            <w:webHidden/>
          </w:rPr>
          <w:fldChar w:fldCharType="begin"/>
        </w:r>
        <w:r w:rsidR="0030768D">
          <w:rPr>
            <w:noProof/>
            <w:webHidden/>
          </w:rPr>
          <w:instrText xml:space="preserve"> PAGEREF _Toc526197079 \h </w:instrText>
        </w:r>
        <w:r w:rsidR="0030768D">
          <w:rPr>
            <w:noProof/>
            <w:webHidden/>
          </w:rPr>
        </w:r>
        <w:r w:rsidR="0030768D">
          <w:rPr>
            <w:noProof/>
            <w:webHidden/>
          </w:rPr>
          <w:fldChar w:fldCharType="separate"/>
        </w:r>
        <w:r w:rsidR="000830B5">
          <w:rPr>
            <w:noProof/>
            <w:webHidden/>
          </w:rPr>
          <w:t>22</w:t>
        </w:r>
        <w:r w:rsidR="0030768D">
          <w:rPr>
            <w:noProof/>
            <w:webHidden/>
          </w:rPr>
          <w:fldChar w:fldCharType="end"/>
        </w:r>
      </w:hyperlink>
    </w:p>
    <w:p w14:paraId="68B8D39C" w14:textId="70325164" w:rsidR="0030768D" w:rsidRDefault="00500768" w:rsidP="0030768D">
      <w:pPr>
        <w:pStyle w:val="TableofFigures"/>
        <w:tabs>
          <w:tab w:val="right" w:leader="dot" w:pos="9350"/>
        </w:tabs>
        <w:spacing w:after="120"/>
        <w:rPr>
          <w:rFonts w:asciiTheme="minorHAnsi" w:eastAsiaTheme="minorEastAsia" w:hAnsiTheme="minorHAnsi" w:cstheme="minorBidi"/>
          <w:noProof/>
          <w:lang w:bidi="ar-SA"/>
        </w:rPr>
      </w:pPr>
      <w:hyperlink w:anchor="_Toc526197080" w:history="1">
        <w:r w:rsidR="0030768D" w:rsidRPr="00EC6700">
          <w:rPr>
            <w:rStyle w:val="Hyperlink"/>
            <w:noProof/>
          </w:rPr>
          <w:t>Figure 2.7. Impacts of eutrophication on beneficial uses of streams, rivers and estuaries: contamination of drinking water, toxin-producing blooms that are unsafe for humans and have caused dog and sea otter deaths, non-toxic nuisance blooms that can lead to hypoxia and fish kills, as well as toxic and non-toxic blooms that form algae scums and release unpleasant odors. (Photo sources: top left from epa.gov, top middle from dogtrekker.com, top right SCCWRP, middle left from USC Annenberg Center for Health Journalism, middle middle: Harry Morse, bottom left SCCWRP, bottom middle:USFWS , bottom right: Michiganfarmer.com).</w:t>
        </w:r>
        <w:r w:rsidR="0030768D">
          <w:rPr>
            <w:noProof/>
            <w:webHidden/>
          </w:rPr>
          <w:tab/>
        </w:r>
        <w:r w:rsidR="0030768D">
          <w:rPr>
            <w:noProof/>
            <w:webHidden/>
          </w:rPr>
          <w:fldChar w:fldCharType="begin"/>
        </w:r>
        <w:r w:rsidR="0030768D">
          <w:rPr>
            <w:noProof/>
            <w:webHidden/>
          </w:rPr>
          <w:instrText xml:space="preserve"> PAGEREF _Toc526197080 \h </w:instrText>
        </w:r>
        <w:r w:rsidR="0030768D">
          <w:rPr>
            <w:noProof/>
            <w:webHidden/>
          </w:rPr>
        </w:r>
        <w:r w:rsidR="0030768D">
          <w:rPr>
            <w:noProof/>
            <w:webHidden/>
          </w:rPr>
          <w:fldChar w:fldCharType="separate"/>
        </w:r>
        <w:r w:rsidR="000830B5">
          <w:rPr>
            <w:noProof/>
            <w:webHidden/>
          </w:rPr>
          <w:t>25</w:t>
        </w:r>
        <w:r w:rsidR="0030768D">
          <w:rPr>
            <w:noProof/>
            <w:webHidden/>
          </w:rPr>
          <w:fldChar w:fldCharType="end"/>
        </w:r>
      </w:hyperlink>
    </w:p>
    <w:p w14:paraId="159AFE5C" w14:textId="46A0C7FC" w:rsidR="0030768D" w:rsidRDefault="00500768" w:rsidP="0030768D">
      <w:pPr>
        <w:pStyle w:val="TableofFigures"/>
        <w:tabs>
          <w:tab w:val="right" w:leader="dot" w:pos="9350"/>
        </w:tabs>
        <w:spacing w:after="120"/>
        <w:rPr>
          <w:rFonts w:asciiTheme="minorHAnsi" w:eastAsiaTheme="minorEastAsia" w:hAnsiTheme="minorHAnsi" w:cstheme="minorBidi"/>
          <w:noProof/>
          <w:lang w:bidi="ar-SA"/>
        </w:rPr>
      </w:pPr>
      <w:hyperlink w:anchor="_Toc526197081" w:history="1">
        <w:r w:rsidR="0030768D" w:rsidRPr="00EC6700">
          <w:rPr>
            <w:rStyle w:val="Hyperlink"/>
            <w:noProof/>
          </w:rPr>
          <w:t>Figure 2.8 Cyanobacterial bloom in Pinto Lake, California. Photo credit: Kudela Lab, UCSC</w:t>
        </w:r>
        <w:r w:rsidR="0030768D">
          <w:rPr>
            <w:noProof/>
            <w:webHidden/>
          </w:rPr>
          <w:tab/>
        </w:r>
        <w:r w:rsidR="0030768D">
          <w:rPr>
            <w:noProof/>
            <w:webHidden/>
          </w:rPr>
          <w:fldChar w:fldCharType="begin"/>
        </w:r>
        <w:r w:rsidR="0030768D">
          <w:rPr>
            <w:noProof/>
            <w:webHidden/>
          </w:rPr>
          <w:instrText xml:space="preserve"> PAGEREF _Toc526197081 \h </w:instrText>
        </w:r>
        <w:r w:rsidR="0030768D">
          <w:rPr>
            <w:noProof/>
            <w:webHidden/>
          </w:rPr>
        </w:r>
        <w:r w:rsidR="0030768D">
          <w:rPr>
            <w:noProof/>
            <w:webHidden/>
          </w:rPr>
          <w:fldChar w:fldCharType="separate"/>
        </w:r>
        <w:r w:rsidR="000830B5">
          <w:rPr>
            <w:noProof/>
            <w:webHidden/>
          </w:rPr>
          <w:t>27</w:t>
        </w:r>
        <w:r w:rsidR="0030768D">
          <w:rPr>
            <w:noProof/>
            <w:webHidden/>
          </w:rPr>
          <w:fldChar w:fldCharType="end"/>
        </w:r>
      </w:hyperlink>
    </w:p>
    <w:p w14:paraId="761CDE78" w14:textId="211C0251" w:rsidR="0030768D" w:rsidRDefault="00500768" w:rsidP="0030768D">
      <w:pPr>
        <w:pStyle w:val="TableofFigures"/>
        <w:tabs>
          <w:tab w:val="right" w:leader="dot" w:pos="9350"/>
        </w:tabs>
        <w:spacing w:after="120"/>
        <w:rPr>
          <w:rFonts w:asciiTheme="minorHAnsi" w:eastAsiaTheme="minorEastAsia" w:hAnsiTheme="minorHAnsi" w:cstheme="minorBidi"/>
          <w:noProof/>
          <w:lang w:bidi="ar-SA"/>
        </w:rPr>
      </w:pPr>
      <w:hyperlink w:anchor="_Toc526197082" w:history="1">
        <w:r w:rsidR="0030768D" w:rsidRPr="00EC6700">
          <w:rPr>
            <w:rStyle w:val="Hyperlink"/>
            <w:noProof/>
          </w:rPr>
          <w:t>Figure 2.9. Non-toxic algal blooms: Sargassum off Catalina Island (top left, photo by Tom Boyd), herbicide being sprayed on Eichhornia crassipes (top right, photo by California State Parks Division of Boating and Waterways), algal scum in Santa Margarita River (photo by SCCWRP), news article about fish death from a golden algae bloom.</w:t>
        </w:r>
        <w:r w:rsidR="0030768D">
          <w:rPr>
            <w:noProof/>
            <w:webHidden/>
          </w:rPr>
          <w:tab/>
        </w:r>
        <w:r w:rsidR="0030768D">
          <w:rPr>
            <w:noProof/>
            <w:webHidden/>
          </w:rPr>
          <w:fldChar w:fldCharType="begin"/>
        </w:r>
        <w:r w:rsidR="0030768D">
          <w:rPr>
            <w:noProof/>
            <w:webHidden/>
          </w:rPr>
          <w:instrText xml:space="preserve"> PAGEREF _Toc526197082 \h </w:instrText>
        </w:r>
        <w:r w:rsidR="0030768D">
          <w:rPr>
            <w:noProof/>
            <w:webHidden/>
          </w:rPr>
        </w:r>
        <w:r w:rsidR="0030768D">
          <w:rPr>
            <w:noProof/>
            <w:webHidden/>
          </w:rPr>
          <w:fldChar w:fldCharType="separate"/>
        </w:r>
        <w:r w:rsidR="000830B5">
          <w:rPr>
            <w:noProof/>
            <w:webHidden/>
          </w:rPr>
          <w:t>29</w:t>
        </w:r>
        <w:r w:rsidR="0030768D">
          <w:rPr>
            <w:noProof/>
            <w:webHidden/>
          </w:rPr>
          <w:fldChar w:fldCharType="end"/>
        </w:r>
      </w:hyperlink>
    </w:p>
    <w:p w14:paraId="4C8F93A2" w14:textId="52C0626B" w:rsidR="0030768D" w:rsidRDefault="00500768" w:rsidP="0030768D">
      <w:pPr>
        <w:pStyle w:val="TableofFigures"/>
        <w:tabs>
          <w:tab w:val="right" w:leader="dot" w:pos="9350"/>
        </w:tabs>
        <w:spacing w:after="120"/>
        <w:rPr>
          <w:rFonts w:asciiTheme="minorHAnsi" w:eastAsiaTheme="minorEastAsia" w:hAnsiTheme="minorHAnsi" w:cstheme="minorBidi"/>
          <w:noProof/>
          <w:lang w:bidi="ar-SA"/>
        </w:rPr>
      </w:pPr>
      <w:hyperlink w:anchor="_Toc526197083" w:history="1">
        <w:r w:rsidR="0030768D" w:rsidRPr="00EC6700">
          <w:rPr>
            <w:rStyle w:val="Hyperlink"/>
            <w:rFonts w:eastAsia="Arial"/>
            <w:noProof/>
          </w:rPr>
          <w:t xml:space="preserve">Figure 2.10. Conceptual model of some of the co-factors affecting algal blooms including warmer water, drought and decreased flow, decreased mixing, increased residence time, and increased N and P inputs from agricultural, industrial and urban sources. From </w:t>
        </w:r>
        <w:r w:rsidR="0030768D" w:rsidRPr="00EC6700">
          <w:rPr>
            <w:rStyle w:val="Hyperlink"/>
            <w:rFonts w:eastAsia="Arial"/>
            <w:noProof/>
            <w:highlight w:val="cyan"/>
          </w:rPr>
          <w:t>Paerl et al. 2011.</w:t>
        </w:r>
        <w:r w:rsidR="0030768D">
          <w:rPr>
            <w:noProof/>
            <w:webHidden/>
          </w:rPr>
          <w:tab/>
        </w:r>
        <w:r w:rsidR="0030768D">
          <w:rPr>
            <w:noProof/>
            <w:webHidden/>
          </w:rPr>
          <w:fldChar w:fldCharType="begin"/>
        </w:r>
        <w:r w:rsidR="0030768D">
          <w:rPr>
            <w:noProof/>
            <w:webHidden/>
          </w:rPr>
          <w:instrText xml:space="preserve"> PAGEREF _Toc526197083 \h </w:instrText>
        </w:r>
        <w:r w:rsidR="0030768D">
          <w:rPr>
            <w:noProof/>
            <w:webHidden/>
          </w:rPr>
        </w:r>
        <w:r w:rsidR="0030768D">
          <w:rPr>
            <w:noProof/>
            <w:webHidden/>
          </w:rPr>
          <w:fldChar w:fldCharType="separate"/>
        </w:r>
        <w:r w:rsidR="000830B5">
          <w:rPr>
            <w:noProof/>
            <w:webHidden/>
          </w:rPr>
          <w:t>32</w:t>
        </w:r>
        <w:r w:rsidR="0030768D">
          <w:rPr>
            <w:noProof/>
            <w:webHidden/>
          </w:rPr>
          <w:fldChar w:fldCharType="end"/>
        </w:r>
      </w:hyperlink>
    </w:p>
    <w:p w14:paraId="3B1F9960" w14:textId="5E9EB805" w:rsidR="0030768D" w:rsidRDefault="00500768" w:rsidP="0030768D">
      <w:pPr>
        <w:pStyle w:val="TableofFigures"/>
        <w:tabs>
          <w:tab w:val="right" w:leader="dot" w:pos="9350"/>
        </w:tabs>
        <w:spacing w:after="120"/>
        <w:rPr>
          <w:rFonts w:asciiTheme="minorHAnsi" w:eastAsiaTheme="minorEastAsia" w:hAnsiTheme="minorHAnsi" w:cstheme="minorBidi"/>
          <w:noProof/>
          <w:lang w:bidi="ar-SA"/>
        </w:rPr>
      </w:pPr>
      <w:hyperlink w:anchor="_Toc526197084" w:history="1">
        <w:r w:rsidR="0030768D" w:rsidRPr="00EC6700">
          <w:rPr>
            <w:rStyle w:val="Hyperlink"/>
            <w:noProof/>
          </w:rPr>
          <w:t>Figure 2.11. Source of nutrients to rivers, streams, and estuaries, clockwise from top left: discharge from an ag tile drainage in Central Coast, stormwater runoff and other runoff in storm drains and transporation sources (top middle and right), wastewater treatment plant (bottom right), agriculture/animal husbandry (bottom middle), and fire plume causing atmospheric deposition (Photo sources: Wikimedia commons, City of Riverside, epa.gov, sewerhistory.org).</w:t>
        </w:r>
        <w:r w:rsidR="0030768D">
          <w:rPr>
            <w:noProof/>
            <w:webHidden/>
          </w:rPr>
          <w:tab/>
        </w:r>
        <w:r w:rsidR="0030768D">
          <w:rPr>
            <w:noProof/>
            <w:webHidden/>
          </w:rPr>
          <w:fldChar w:fldCharType="begin"/>
        </w:r>
        <w:r w:rsidR="0030768D">
          <w:rPr>
            <w:noProof/>
            <w:webHidden/>
          </w:rPr>
          <w:instrText xml:space="preserve"> PAGEREF _Toc526197084 \h </w:instrText>
        </w:r>
        <w:r w:rsidR="0030768D">
          <w:rPr>
            <w:noProof/>
            <w:webHidden/>
          </w:rPr>
        </w:r>
        <w:r w:rsidR="0030768D">
          <w:rPr>
            <w:noProof/>
            <w:webHidden/>
          </w:rPr>
          <w:fldChar w:fldCharType="separate"/>
        </w:r>
        <w:r w:rsidR="000830B5">
          <w:rPr>
            <w:noProof/>
            <w:webHidden/>
          </w:rPr>
          <w:t>33</w:t>
        </w:r>
        <w:r w:rsidR="0030768D">
          <w:rPr>
            <w:noProof/>
            <w:webHidden/>
          </w:rPr>
          <w:fldChar w:fldCharType="end"/>
        </w:r>
      </w:hyperlink>
    </w:p>
    <w:p w14:paraId="464BC474" w14:textId="357C5D9C" w:rsidR="0030768D" w:rsidRDefault="00500768" w:rsidP="0030768D">
      <w:pPr>
        <w:pStyle w:val="TableofFigures"/>
        <w:tabs>
          <w:tab w:val="right" w:leader="dot" w:pos="9350"/>
        </w:tabs>
        <w:spacing w:after="120"/>
        <w:rPr>
          <w:rFonts w:asciiTheme="minorHAnsi" w:eastAsiaTheme="minorEastAsia" w:hAnsiTheme="minorHAnsi" w:cstheme="minorBidi"/>
          <w:noProof/>
          <w:lang w:bidi="ar-SA"/>
        </w:rPr>
      </w:pPr>
      <w:hyperlink w:anchor="_Toc526197085" w:history="1">
        <w:r w:rsidR="0030768D" w:rsidRPr="00EC6700">
          <w:rPr>
            <w:rStyle w:val="Hyperlink"/>
            <w:rFonts w:eastAsia="Arial"/>
            <w:noProof/>
          </w:rPr>
          <w:t xml:space="preserve">Figure 2.12.   Results from USGS SPARROW model for California.  Left panel is from </w:t>
        </w:r>
        <w:r w:rsidR="0030768D" w:rsidRPr="00EC6700">
          <w:rPr>
            <w:rStyle w:val="Hyperlink"/>
            <w:rFonts w:eastAsia="Arial"/>
            <w:noProof/>
            <w:highlight w:val="cyan"/>
          </w:rPr>
          <w:t>Saleh and Domagalski (2015)</w:t>
        </w:r>
        <w:r w:rsidR="0030768D" w:rsidRPr="00EC6700">
          <w:rPr>
            <w:rStyle w:val="Hyperlink"/>
            <w:rFonts w:eastAsia="Arial"/>
            <w:noProof/>
          </w:rPr>
          <w:t xml:space="preserve">, while right panel is from </w:t>
        </w:r>
        <w:r w:rsidR="0030768D" w:rsidRPr="00EC6700">
          <w:rPr>
            <w:rStyle w:val="Hyperlink"/>
            <w:rFonts w:eastAsia="Arial"/>
            <w:noProof/>
            <w:highlight w:val="cyan"/>
          </w:rPr>
          <w:t>Domagalski and Saleh (2015</w:t>
        </w:r>
        <w:r w:rsidR="0030768D" w:rsidRPr="00EC6700">
          <w:rPr>
            <w:rStyle w:val="Hyperlink"/>
            <w:rFonts w:eastAsia="Arial"/>
            <w:noProof/>
          </w:rPr>
          <w:t>). Yield is the amount of N or P per unit area of land per year. (Kg/m2/yr).</w:t>
        </w:r>
        <w:r w:rsidR="0030768D">
          <w:rPr>
            <w:noProof/>
            <w:webHidden/>
          </w:rPr>
          <w:tab/>
        </w:r>
        <w:r w:rsidR="0030768D">
          <w:rPr>
            <w:noProof/>
            <w:webHidden/>
          </w:rPr>
          <w:fldChar w:fldCharType="begin"/>
        </w:r>
        <w:r w:rsidR="0030768D">
          <w:rPr>
            <w:noProof/>
            <w:webHidden/>
          </w:rPr>
          <w:instrText xml:space="preserve"> PAGEREF _Toc526197085 \h </w:instrText>
        </w:r>
        <w:r w:rsidR="0030768D">
          <w:rPr>
            <w:noProof/>
            <w:webHidden/>
          </w:rPr>
        </w:r>
        <w:r w:rsidR="0030768D">
          <w:rPr>
            <w:noProof/>
            <w:webHidden/>
          </w:rPr>
          <w:fldChar w:fldCharType="separate"/>
        </w:r>
        <w:r w:rsidR="000830B5">
          <w:rPr>
            <w:noProof/>
            <w:webHidden/>
          </w:rPr>
          <w:t>34</w:t>
        </w:r>
        <w:r w:rsidR="0030768D">
          <w:rPr>
            <w:noProof/>
            <w:webHidden/>
          </w:rPr>
          <w:fldChar w:fldCharType="end"/>
        </w:r>
      </w:hyperlink>
    </w:p>
    <w:p w14:paraId="63BC620B" w14:textId="060ED9FD" w:rsidR="0030768D" w:rsidRDefault="00500768" w:rsidP="0030768D">
      <w:pPr>
        <w:pStyle w:val="TableofFigures"/>
        <w:tabs>
          <w:tab w:val="right" w:leader="dot" w:pos="9350"/>
        </w:tabs>
        <w:spacing w:after="120"/>
        <w:rPr>
          <w:rFonts w:asciiTheme="minorHAnsi" w:eastAsiaTheme="minorEastAsia" w:hAnsiTheme="minorHAnsi" w:cstheme="minorBidi"/>
          <w:noProof/>
          <w:lang w:bidi="ar-SA"/>
        </w:rPr>
      </w:pPr>
      <w:hyperlink w:anchor="_Toc526197086" w:history="1">
        <w:r w:rsidR="0030768D" w:rsidRPr="00EC6700">
          <w:rPr>
            <w:rStyle w:val="Hyperlink"/>
            <w:noProof/>
          </w:rPr>
          <w:t>Figure 2.13. Concrete channels, floods, and fires that result in the loss of riparian habitats lead to increased temperature in rivers and streams. Top left: Los Angeles River (photo by California State Parks), top right: South Yuba River (photo from Wikimedia commons), bottom left: tributary to the Los Angeles River near Van Nuys (photo from Wikimedia commons), bottom right: (photo from SCCWRP).</w:t>
        </w:r>
        <w:r w:rsidR="0030768D">
          <w:rPr>
            <w:noProof/>
            <w:webHidden/>
          </w:rPr>
          <w:tab/>
        </w:r>
        <w:r w:rsidR="0030768D">
          <w:rPr>
            <w:noProof/>
            <w:webHidden/>
          </w:rPr>
          <w:fldChar w:fldCharType="begin"/>
        </w:r>
        <w:r w:rsidR="0030768D">
          <w:rPr>
            <w:noProof/>
            <w:webHidden/>
          </w:rPr>
          <w:instrText xml:space="preserve"> PAGEREF _Toc526197086 \h </w:instrText>
        </w:r>
        <w:r w:rsidR="0030768D">
          <w:rPr>
            <w:noProof/>
            <w:webHidden/>
          </w:rPr>
        </w:r>
        <w:r w:rsidR="0030768D">
          <w:rPr>
            <w:noProof/>
            <w:webHidden/>
          </w:rPr>
          <w:fldChar w:fldCharType="separate"/>
        </w:r>
        <w:r w:rsidR="000830B5">
          <w:rPr>
            <w:noProof/>
            <w:webHidden/>
          </w:rPr>
          <w:t>35</w:t>
        </w:r>
        <w:r w:rsidR="0030768D">
          <w:rPr>
            <w:noProof/>
            <w:webHidden/>
          </w:rPr>
          <w:fldChar w:fldCharType="end"/>
        </w:r>
      </w:hyperlink>
    </w:p>
    <w:p w14:paraId="4D0A19E9" w14:textId="1C87EA36" w:rsidR="0030768D" w:rsidRDefault="00500768" w:rsidP="0030768D">
      <w:pPr>
        <w:pStyle w:val="TableofFigures"/>
        <w:tabs>
          <w:tab w:val="right" w:leader="dot" w:pos="9350"/>
        </w:tabs>
        <w:spacing w:after="120"/>
        <w:rPr>
          <w:rFonts w:asciiTheme="minorHAnsi" w:eastAsiaTheme="minorEastAsia" w:hAnsiTheme="minorHAnsi" w:cstheme="minorBidi"/>
          <w:noProof/>
          <w:lang w:bidi="ar-SA"/>
        </w:rPr>
      </w:pPr>
      <w:hyperlink w:anchor="_Toc526197087" w:history="1">
        <w:r w:rsidR="0030768D" w:rsidRPr="00EC6700">
          <w:rPr>
            <w:rStyle w:val="Hyperlink"/>
            <w:noProof/>
          </w:rPr>
          <w:t>Figure 2.14. Examples of hydromodification. (Photo source: top left Wikimedia Commons, top right esassoc.com, bottom left SCCWRP, bottom right SCCWRP).</w:t>
        </w:r>
        <w:r w:rsidR="0030768D">
          <w:rPr>
            <w:noProof/>
            <w:webHidden/>
          </w:rPr>
          <w:tab/>
        </w:r>
        <w:r w:rsidR="0030768D">
          <w:rPr>
            <w:noProof/>
            <w:webHidden/>
          </w:rPr>
          <w:fldChar w:fldCharType="begin"/>
        </w:r>
        <w:r w:rsidR="0030768D">
          <w:rPr>
            <w:noProof/>
            <w:webHidden/>
          </w:rPr>
          <w:instrText xml:space="preserve"> PAGEREF _Toc526197087 \h </w:instrText>
        </w:r>
        <w:r w:rsidR="0030768D">
          <w:rPr>
            <w:noProof/>
            <w:webHidden/>
          </w:rPr>
        </w:r>
        <w:r w:rsidR="0030768D">
          <w:rPr>
            <w:noProof/>
            <w:webHidden/>
          </w:rPr>
          <w:fldChar w:fldCharType="separate"/>
        </w:r>
        <w:r w:rsidR="000830B5">
          <w:rPr>
            <w:noProof/>
            <w:webHidden/>
          </w:rPr>
          <w:t>37</w:t>
        </w:r>
        <w:r w:rsidR="0030768D">
          <w:rPr>
            <w:noProof/>
            <w:webHidden/>
          </w:rPr>
          <w:fldChar w:fldCharType="end"/>
        </w:r>
      </w:hyperlink>
    </w:p>
    <w:p w14:paraId="74CD54A8" w14:textId="5D79D72A" w:rsidR="008A388C" w:rsidRDefault="000C3979" w:rsidP="00E62EE7">
      <w:pPr>
        <w:pStyle w:val="Heading1"/>
        <w:spacing w:afterLines="120" w:after="288"/>
      </w:pPr>
      <w:r>
        <w:fldChar w:fldCharType="end"/>
      </w:r>
    </w:p>
    <w:p w14:paraId="0435A09A" w14:textId="77777777" w:rsidR="008A388C" w:rsidRDefault="008A388C" w:rsidP="008A388C">
      <w:pPr>
        <w:widowControl w:val="0"/>
        <w:pBdr>
          <w:top w:val="nil"/>
          <w:left w:val="nil"/>
          <w:bottom w:val="nil"/>
          <w:right w:val="nil"/>
          <w:between w:val="nil"/>
        </w:pBdr>
        <w:spacing w:after="0"/>
        <w:sectPr w:rsidR="008A388C" w:rsidSect="0030518C">
          <w:pgSz w:w="12240" w:h="15840"/>
          <w:pgMar w:top="1440" w:right="1440" w:bottom="1440" w:left="1440" w:header="0" w:footer="0" w:gutter="0"/>
          <w:pgNumType w:fmt="lowerRoman" w:start="1"/>
          <w:cols w:space="720"/>
        </w:sectPr>
      </w:pPr>
      <w:r>
        <w:br w:type="page"/>
      </w:r>
    </w:p>
    <w:p w14:paraId="185EF942" w14:textId="77777777" w:rsidR="008A388C" w:rsidRDefault="008A388C" w:rsidP="00783E18">
      <w:pPr>
        <w:pStyle w:val="Heading1"/>
        <w:numPr>
          <w:ilvl w:val="0"/>
          <w:numId w:val="19"/>
        </w:numPr>
      </w:pPr>
      <w:bookmarkStart w:id="13" w:name="_Toc525589890"/>
      <w:bookmarkStart w:id="14" w:name="_Toc525595042"/>
      <w:bookmarkStart w:id="15" w:name="_Toc526196678"/>
      <w:r>
        <w:t>Introduction and Purpose</w:t>
      </w:r>
      <w:bookmarkEnd w:id="13"/>
      <w:bookmarkEnd w:id="14"/>
      <w:bookmarkEnd w:id="15"/>
      <w:r>
        <w:t xml:space="preserve"> </w:t>
      </w:r>
    </w:p>
    <w:p w14:paraId="0E8D0D21" w14:textId="77777777" w:rsidR="008A388C" w:rsidRDefault="008A388C" w:rsidP="008A388C">
      <w:pPr>
        <w:pStyle w:val="Heading2"/>
      </w:pPr>
      <w:bookmarkStart w:id="16" w:name="_Toc525589891"/>
      <w:bookmarkStart w:id="17" w:name="_Toc525595043"/>
      <w:bookmarkStart w:id="18" w:name="_Toc526196679"/>
      <w:r>
        <w:t>1.1</w:t>
      </w:r>
      <w:r>
        <w:tab/>
        <w:t>Introduction and Purpose of Document</w:t>
      </w:r>
      <w:bookmarkEnd w:id="16"/>
      <w:bookmarkEnd w:id="17"/>
      <w:bookmarkEnd w:id="18"/>
    </w:p>
    <w:p w14:paraId="543D6EA6" w14:textId="38D0D2B6" w:rsidR="008A388C" w:rsidRDefault="008A388C" w:rsidP="008A388C">
      <w:pPr>
        <w:ind w:firstLine="720"/>
        <w:jc w:val="both"/>
      </w:pPr>
      <w:bookmarkStart w:id="19" w:name="_1t3h5sf" w:colFirst="0" w:colLast="0"/>
      <w:bookmarkEnd w:id="19"/>
      <w:r w:rsidRPr="007F6AEB">
        <w:t xml:space="preserve">Eutrophication, defined as the accelerated delivery, </w:t>
      </w:r>
      <w:r w:rsidRPr="007F6AEB">
        <w:rPr>
          <w:i/>
        </w:rPr>
        <w:t>in situ</w:t>
      </w:r>
      <w:r w:rsidRPr="007F6AEB">
        <w:t xml:space="preserve"> production, and/or accumulation of organic matter within an aquatic ecosystem (Howarth 1988, Nixon 1995, Cloern 2001), can have far-reaching ecological impacts, from headwater streams, lakes, estuaries to the coastal ocean (Valiela et al. 1992). These impacts include hypoxia, fish-kills, lowered fishery production (Glasgow and Burkholder 2000), loss or degradation of seagrass and other aquatic beds (</w:t>
      </w:r>
      <w:hyperlink w:anchor="_46r0co2">
        <w:r w:rsidRPr="007F6AEB">
          <w:t>Twilley 1985</w:t>
        </w:r>
      </w:hyperlink>
      <w:r w:rsidRPr="007F6AEB">
        <w:t xml:space="preserve">, </w:t>
      </w:r>
      <w:hyperlink w:anchor="_2lwamvv">
        <w:r w:rsidRPr="007F6AEB">
          <w:t>Burkholder et al. 1992</w:t>
        </w:r>
      </w:hyperlink>
      <w:r w:rsidRPr="007F6AEB">
        <w:t xml:space="preserve">, </w:t>
      </w:r>
      <w:hyperlink w:anchor="_111kx3o">
        <w:r w:rsidRPr="007F6AEB">
          <w:t>McGlathery 2001</w:t>
        </w:r>
      </w:hyperlink>
      <w:r w:rsidRPr="007F6AEB">
        <w:t>), smothering of benthic macroinvertebrates, bivalves, and other organisms (</w:t>
      </w:r>
      <w:hyperlink w:anchor="_3l18frh">
        <w:r w:rsidRPr="007F6AEB">
          <w:t>Rabalais and Harper 1992</w:t>
        </w:r>
      </w:hyperlink>
      <w:r w:rsidRPr="007F6AEB">
        <w:t>), nuisance odors, impacts on aquatic life from increased frequency and extent of toxic harmful algal blooms, and poor water quality (</w:t>
      </w:r>
      <w:hyperlink w:anchor="_206ipza">
        <w:r w:rsidRPr="007F6AEB">
          <w:t>Bates et al. 1989</w:t>
        </w:r>
      </w:hyperlink>
      <w:r w:rsidRPr="007F6AEB">
        <w:t xml:space="preserve">, </w:t>
      </w:r>
      <w:hyperlink w:anchor="_4k668n3">
        <w:r w:rsidRPr="007F6AEB">
          <w:t>Bates et al. 1991</w:t>
        </w:r>
      </w:hyperlink>
      <w:r w:rsidRPr="007F6AEB">
        <w:t xml:space="preserve">, </w:t>
      </w:r>
      <w:hyperlink w:anchor="_2zbgiuw">
        <w:r w:rsidRPr="007F6AEB">
          <w:t>Trainer et al. 2002</w:t>
        </w:r>
      </w:hyperlink>
      <w:r w:rsidRPr="007F6AEB">
        <w:t>). There are also a range of impacts to human health (algal toxins), drinking water (algal toxins, odors and disinfection biproducts) and recreation (nuisance blooms, loss of clarity, aesthetic impairments; Nixon 1995, Paerl et al. 2011). These impacts have significant economic and social costs (</w:t>
      </w:r>
      <w:hyperlink w:anchor="_1egqt2p">
        <w:r w:rsidRPr="007F6AEB">
          <w:t>Turner et al. 1998</w:t>
        </w:r>
      </w:hyperlink>
      <w:r w:rsidRPr="007F6AEB">
        <w:t>). According to the U.S. Environmental Protection Agency (USEPA), eutrophication is one of the top three leading causes of impairments of the nation’s waters (US EPA 2001). Scientifically-based state water quality objectives and tools that relate these objectives to management controls are needed to protect against adverse effects from eutrophication.</w:t>
      </w:r>
      <w:r>
        <w:t xml:space="preserve"> </w:t>
      </w:r>
    </w:p>
    <w:p w14:paraId="53CAB0F8" w14:textId="06319FEC" w:rsidR="008A388C" w:rsidRDefault="008A388C" w:rsidP="008A388C">
      <w:pPr>
        <w:ind w:firstLine="720"/>
        <w:jc w:val="both"/>
      </w:pPr>
      <w:r>
        <w:t xml:space="preserve">California has significant nutrient pollution and eutrophication issues. </w:t>
      </w:r>
      <w:r w:rsidR="004C7895">
        <w:t>Over 1,600 waterbodies have 303(d) listings for nutrient related impairments</w:t>
      </w:r>
      <w:r w:rsidR="00C030E9">
        <w:t xml:space="preserve">, including </w:t>
      </w:r>
      <w:r w:rsidR="004C7895">
        <w:t>10,827 miles of streams and rivers, and 484,936 acres of lakes, reservoirs, estuaries and bay, and associated wetland habitat (Table 1.1).</w:t>
      </w:r>
      <w:r>
        <w:t xml:space="preserve">  In Southern California estuaries, macroalgal blooms and hypoxia have been observed </w:t>
      </w:r>
      <w:r w:rsidR="00451625">
        <w:t xml:space="preserve">as </w:t>
      </w:r>
      <w:r>
        <w:t>the majority</w:t>
      </w:r>
      <w:r w:rsidR="00451625">
        <w:t xml:space="preserve"> of</w:t>
      </w:r>
      <w:r>
        <w:t xml:space="preserve"> monitored segments </w:t>
      </w:r>
      <w:r w:rsidRPr="007F6AEB">
        <w:t xml:space="preserve">(McLaughlin et al. 2014).  Recreational uses have been affected by harmful algal blooms </w:t>
      </w:r>
      <w:r w:rsidR="00C030E9">
        <w:t xml:space="preserve">(HABs) </w:t>
      </w:r>
      <w:r w:rsidRPr="007F6AEB">
        <w:t>in inland waterbodies such as Copco Reservoir, Pinto Lake, Clear Lake, Lake Elsinore (</w:t>
      </w:r>
      <w:r w:rsidRPr="007F6AEB">
        <w:rPr>
          <w:rFonts w:eastAsia="Arial"/>
          <w:color w:val="000000"/>
        </w:rPr>
        <w:t>https://mywaterquality.ca.gov/habs/where/freshwater_events.html)</w:t>
      </w:r>
      <w:r w:rsidRPr="007F6AEB">
        <w:t xml:space="preserve">. </w:t>
      </w:r>
      <w:bookmarkStart w:id="20" w:name="_Hlk526133521"/>
      <w:r w:rsidRPr="007F6AEB">
        <w:t>Fish consumption has been affected by algal toxins in the Klamath River and by episodic shellfish poisoning on the Coast.  Aquatic life use impacts include episodic fish kills on the coast and the Salton Sea (</w:t>
      </w:r>
      <w:r w:rsidR="007F6AEB" w:rsidRPr="007F6AEB">
        <w:t>Kaiser 1999</w:t>
      </w:r>
      <w:r w:rsidRPr="007F6AEB">
        <w:t>)</w:t>
      </w:r>
      <w:r w:rsidR="00451625">
        <w:t xml:space="preserve">, </w:t>
      </w:r>
      <w:bookmarkEnd w:id="20"/>
      <w:r w:rsidRPr="007F6AEB">
        <w:t xml:space="preserve">sea otter deaths in Monterey Bay (Miller et al. 2010) and sea lion deaths in Central and Southern California coast (Bargu 2011).  Drinking water uses have also been affected by </w:t>
      </w:r>
      <w:r w:rsidR="00C030E9">
        <w:t>HABs</w:t>
      </w:r>
      <w:r w:rsidRPr="007F6AEB">
        <w:t xml:space="preserve"> which create odors and toxins (e.g.</w:t>
      </w:r>
      <w:r w:rsidR="00451625">
        <w:t>,</w:t>
      </w:r>
      <w:r w:rsidRPr="007F6AEB">
        <w:t xml:space="preserve"> Lake Elsinore and Clear Lake). Ground water sources of drinking water in agricultural areas are threatened by high nitrate in the Tulare Basin and the Salinas Valley.</w:t>
      </w:r>
      <w:r>
        <w:t xml:space="preserve">  </w:t>
      </w:r>
    </w:p>
    <w:p w14:paraId="28108DE7" w14:textId="221FB79B" w:rsidR="004C7895" w:rsidRPr="00C030E9" w:rsidRDefault="004C7895" w:rsidP="00C030E9">
      <w:pPr>
        <w:pStyle w:val="TOT"/>
        <w:spacing w:after="0"/>
        <w:contextualSpacing/>
        <w:rPr>
          <w:rFonts w:asciiTheme="minorHAnsi" w:hAnsiTheme="minorHAnsi" w:cstheme="minorHAnsi"/>
          <w:szCs w:val="20"/>
        </w:rPr>
      </w:pPr>
      <w:bookmarkStart w:id="21" w:name="_Toc526428305"/>
      <w:r w:rsidRPr="00C030E9">
        <w:rPr>
          <w:rFonts w:asciiTheme="minorHAnsi" w:hAnsiTheme="minorHAnsi" w:cstheme="minorHAnsi"/>
          <w:szCs w:val="20"/>
        </w:rPr>
        <w:t xml:space="preserve">Table 1.1. Acres of Water Bodies Impaired by Region </w:t>
      </w:r>
      <w:r w:rsidR="00C030E9">
        <w:rPr>
          <w:rFonts w:asciiTheme="minorHAnsi" w:hAnsiTheme="minorHAnsi" w:cstheme="minorHAnsi"/>
          <w:szCs w:val="20"/>
        </w:rPr>
        <w:t>by Waterbody Type</w:t>
      </w:r>
      <w:r w:rsidRPr="00C030E9">
        <w:rPr>
          <w:rFonts w:asciiTheme="minorHAnsi" w:hAnsiTheme="minorHAnsi" w:cstheme="minorHAnsi"/>
          <w:szCs w:val="20"/>
        </w:rPr>
        <w:t xml:space="preserve"> (California Integrated Report 2014/2016). www.waterboards.ca.gov/water_issues/programs/tmdl/integrated2014_2016.shtml</w:t>
      </w:r>
      <w:bookmarkEnd w:id="21"/>
    </w:p>
    <w:tbl>
      <w:tblPr>
        <w:tblStyle w:val="LightShading1"/>
        <w:tblpPr w:leftFromText="180" w:rightFromText="180" w:vertAnchor="text" w:horzAnchor="margin" w:tblpXSpec="center" w:tblpY="324"/>
        <w:tblW w:w="8944" w:type="dxa"/>
        <w:tblLook w:val="06A0" w:firstRow="1" w:lastRow="0" w:firstColumn="1" w:lastColumn="0" w:noHBand="1" w:noVBand="1"/>
      </w:tblPr>
      <w:tblGrid>
        <w:gridCol w:w="1638"/>
        <w:gridCol w:w="658"/>
        <w:gridCol w:w="774"/>
        <w:gridCol w:w="924"/>
        <w:gridCol w:w="944"/>
        <w:gridCol w:w="774"/>
        <w:gridCol w:w="886"/>
        <w:gridCol w:w="886"/>
        <w:gridCol w:w="740"/>
        <w:gridCol w:w="720"/>
      </w:tblGrid>
      <w:tr w:rsidR="004C7895" w:rsidRPr="00C030E9" w14:paraId="60D4AE97" w14:textId="77777777" w:rsidTr="004C7895">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638" w:type="dxa"/>
            <w:noWrap/>
            <w:hideMark/>
          </w:tcPr>
          <w:p w14:paraId="1E2098C8" w14:textId="77777777" w:rsidR="004C7895" w:rsidRPr="00C030E9" w:rsidRDefault="004C7895" w:rsidP="004C7895">
            <w:pPr>
              <w:spacing w:after="0" w:line="240" w:lineRule="auto"/>
              <w:jc w:val="center"/>
              <w:rPr>
                <w:rFonts w:asciiTheme="minorHAnsi" w:hAnsiTheme="minorHAnsi" w:cstheme="minorHAnsi"/>
                <w:b w:val="0"/>
                <w:sz w:val="18"/>
                <w:szCs w:val="18"/>
              </w:rPr>
            </w:pPr>
            <w:r w:rsidRPr="00C030E9">
              <w:rPr>
                <w:rFonts w:asciiTheme="minorHAnsi" w:hAnsiTheme="minorHAnsi" w:cstheme="minorHAnsi"/>
                <w:sz w:val="18"/>
                <w:szCs w:val="18"/>
              </w:rPr>
              <w:t>WB Type</w:t>
            </w:r>
          </w:p>
        </w:tc>
        <w:tc>
          <w:tcPr>
            <w:tcW w:w="658" w:type="dxa"/>
            <w:noWrap/>
            <w:hideMark/>
          </w:tcPr>
          <w:p w14:paraId="6391FD88" w14:textId="77777777" w:rsidR="004C7895" w:rsidRPr="00C030E9" w:rsidRDefault="004C7895" w:rsidP="004C7895">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18"/>
                <w:szCs w:val="18"/>
              </w:rPr>
            </w:pPr>
            <w:r w:rsidRPr="00C030E9">
              <w:rPr>
                <w:rFonts w:asciiTheme="minorHAnsi" w:hAnsiTheme="minorHAnsi" w:cstheme="minorHAnsi"/>
                <w:sz w:val="18"/>
                <w:szCs w:val="18"/>
              </w:rPr>
              <w:t>R1</w:t>
            </w:r>
          </w:p>
        </w:tc>
        <w:tc>
          <w:tcPr>
            <w:tcW w:w="774" w:type="dxa"/>
            <w:noWrap/>
            <w:hideMark/>
          </w:tcPr>
          <w:p w14:paraId="72B8322E" w14:textId="77777777" w:rsidR="004C7895" w:rsidRPr="00C030E9" w:rsidRDefault="004C7895" w:rsidP="004C7895">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18"/>
                <w:szCs w:val="18"/>
              </w:rPr>
            </w:pPr>
            <w:r w:rsidRPr="00C030E9">
              <w:rPr>
                <w:rFonts w:asciiTheme="minorHAnsi" w:hAnsiTheme="minorHAnsi" w:cstheme="minorHAnsi"/>
                <w:sz w:val="18"/>
                <w:szCs w:val="18"/>
              </w:rPr>
              <w:t>R2</w:t>
            </w:r>
          </w:p>
        </w:tc>
        <w:tc>
          <w:tcPr>
            <w:tcW w:w="924" w:type="dxa"/>
            <w:noWrap/>
            <w:hideMark/>
          </w:tcPr>
          <w:p w14:paraId="1F69FE82" w14:textId="77777777" w:rsidR="004C7895" w:rsidRPr="00C030E9" w:rsidRDefault="004C7895" w:rsidP="004C7895">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18"/>
                <w:szCs w:val="18"/>
              </w:rPr>
            </w:pPr>
            <w:r w:rsidRPr="00C030E9">
              <w:rPr>
                <w:rFonts w:asciiTheme="minorHAnsi" w:hAnsiTheme="minorHAnsi" w:cstheme="minorHAnsi"/>
                <w:sz w:val="18"/>
                <w:szCs w:val="18"/>
              </w:rPr>
              <w:t>R3</w:t>
            </w:r>
          </w:p>
        </w:tc>
        <w:tc>
          <w:tcPr>
            <w:tcW w:w="944" w:type="dxa"/>
            <w:noWrap/>
            <w:hideMark/>
          </w:tcPr>
          <w:p w14:paraId="40557501" w14:textId="77777777" w:rsidR="004C7895" w:rsidRPr="00C030E9" w:rsidRDefault="004C7895" w:rsidP="004C7895">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18"/>
                <w:szCs w:val="18"/>
              </w:rPr>
            </w:pPr>
            <w:r w:rsidRPr="00C030E9">
              <w:rPr>
                <w:rFonts w:asciiTheme="minorHAnsi" w:hAnsiTheme="minorHAnsi" w:cstheme="minorHAnsi"/>
                <w:sz w:val="18"/>
                <w:szCs w:val="18"/>
              </w:rPr>
              <w:t>R4</w:t>
            </w:r>
          </w:p>
        </w:tc>
        <w:tc>
          <w:tcPr>
            <w:tcW w:w="774" w:type="dxa"/>
            <w:noWrap/>
            <w:hideMark/>
          </w:tcPr>
          <w:p w14:paraId="29766E8C" w14:textId="77777777" w:rsidR="004C7895" w:rsidRPr="00C030E9" w:rsidRDefault="004C7895" w:rsidP="004C7895">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18"/>
                <w:szCs w:val="18"/>
              </w:rPr>
            </w:pPr>
            <w:r w:rsidRPr="00C030E9">
              <w:rPr>
                <w:rFonts w:asciiTheme="minorHAnsi" w:hAnsiTheme="minorHAnsi" w:cstheme="minorHAnsi"/>
                <w:sz w:val="18"/>
                <w:szCs w:val="18"/>
              </w:rPr>
              <w:t>R5</w:t>
            </w:r>
          </w:p>
        </w:tc>
        <w:tc>
          <w:tcPr>
            <w:tcW w:w="886" w:type="dxa"/>
            <w:noWrap/>
            <w:hideMark/>
          </w:tcPr>
          <w:p w14:paraId="3F7BB9C4" w14:textId="77777777" w:rsidR="004C7895" w:rsidRPr="00C030E9" w:rsidRDefault="004C7895" w:rsidP="004C7895">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18"/>
                <w:szCs w:val="18"/>
              </w:rPr>
            </w:pPr>
            <w:r w:rsidRPr="00C030E9">
              <w:rPr>
                <w:rFonts w:asciiTheme="minorHAnsi" w:hAnsiTheme="minorHAnsi" w:cstheme="minorHAnsi"/>
                <w:sz w:val="18"/>
                <w:szCs w:val="18"/>
              </w:rPr>
              <w:t>R6</w:t>
            </w:r>
          </w:p>
        </w:tc>
        <w:tc>
          <w:tcPr>
            <w:tcW w:w="886" w:type="dxa"/>
            <w:noWrap/>
            <w:hideMark/>
          </w:tcPr>
          <w:p w14:paraId="089263EE" w14:textId="77777777" w:rsidR="004C7895" w:rsidRPr="00C030E9" w:rsidRDefault="004C7895" w:rsidP="004C7895">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18"/>
                <w:szCs w:val="18"/>
              </w:rPr>
            </w:pPr>
            <w:r w:rsidRPr="00C030E9">
              <w:rPr>
                <w:rFonts w:asciiTheme="minorHAnsi" w:hAnsiTheme="minorHAnsi" w:cstheme="minorHAnsi"/>
                <w:sz w:val="18"/>
                <w:szCs w:val="18"/>
              </w:rPr>
              <w:t>R7</w:t>
            </w:r>
          </w:p>
        </w:tc>
        <w:tc>
          <w:tcPr>
            <w:tcW w:w="740" w:type="dxa"/>
            <w:noWrap/>
            <w:hideMark/>
          </w:tcPr>
          <w:p w14:paraId="73105F20" w14:textId="77777777" w:rsidR="004C7895" w:rsidRPr="00C030E9" w:rsidRDefault="004C7895" w:rsidP="004C7895">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18"/>
                <w:szCs w:val="18"/>
              </w:rPr>
            </w:pPr>
            <w:r w:rsidRPr="00C030E9">
              <w:rPr>
                <w:rFonts w:asciiTheme="minorHAnsi" w:hAnsiTheme="minorHAnsi" w:cstheme="minorHAnsi"/>
                <w:sz w:val="18"/>
                <w:szCs w:val="18"/>
              </w:rPr>
              <w:t>R8</w:t>
            </w:r>
          </w:p>
        </w:tc>
        <w:tc>
          <w:tcPr>
            <w:tcW w:w="720" w:type="dxa"/>
            <w:noWrap/>
            <w:hideMark/>
          </w:tcPr>
          <w:p w14:paraId="561E3B45" w14:textId="77777777" w:rsidR="004C7895" w:rsidRPr="00C030E9" w:rsidRDefault="004C7895" w:rsidP="004C7895">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sz w:val="18"/>
                <w:szCs w:val="18"/>
              </w:rPr>
            </w:pPr>
            <w:r w:rsidRPr="00C030E9">
              <w:rPr>
                <w:rFonts w:asciiTheme="minorHAnsi" w:hAnsiTheme="minorHAnsi" w:cstheme="minorHAnsi"/>
                <w:sz w:val="18"/>
                <w:szCs w:val="18"/>
              </w:rPr>
              <w:t>R9</w:t>
            </w:r>
          </w:p>
        </w:tc>
      </w:tr>
      <w:tr w:rsidR="004C7895" w:rsidRPr="00C030E9" w14:paraId="341EB9A4" w14:textId="77777777" w:rsidTr="00C030E9">
        <w:trPr>
          <w:trHeight w:val="202"/>
        </w:trPr>
        <w:tc>
          <w:tcPr>
            <w:cnfStyle w:val="001000000000" w:firstRow="0" w:lastRow="0" w:firstColumn="1" w:lastColumn="0" w:oddVBand="0" w:evenVBand="0" w:oddHBand="0" w:evenHBand="0" w:firstRowFirstColumn="0" w:firstRowLastColumn="0" w:lastRowFirstColumn="0" w:lastRowLastColumn="0"/>
            <w:tcW w:w="1638" w:type="dxa"/>
            <w:noWrap/>
            <w:hideMark/>
          </w:tcPr>
          <w:p w14:paraId="5A3ABF9B" w14:textId="77777777" w:rsidR="004C7895" w:rsidRPr="00C030E9" w:rsidRDefault="004C7895" w:rsidP="004C7895">
            <w:pPr>
              <w:spacing w:after="0" w:line="240" w:lineRule="auto"/>
              <w:rPr>
                <w:rFonts w:asciiTheme="minorHAnsi" w:hAnsiTheme="minorHAnsi" w:cstheme="minorHAnsi"/>
                <w:sz w:val="18"/>
                <w:szCs w:val="18"/>
              </w:rPr>
            </w:pPr>
            <w:r w:rsidRPr="00C030E9">
              <w:rPr>
                <w:rFonts w:asciiTheme="minorHAnsi" w:hAnsiTheme="minorHAnsi" w:cstheme="minorHAnsi"/>
                <w:sz w:val="18"/>
                <w:szCs w:val="18"/>
              </w:rPr>
              <w:t>Estuaries</w:t>
            </w:r>
          </w:p>
        </w:tc>
        <w:tc>
          <w:tcPr>
            <w:tcW w:w="658" w:type="dxa"/>
            <w:noWrap/>
            <w:hideMark/>
          </w:tcPr>
          <w:p w14:paraId="1AD5749A" w14:textId="77777777" w:rsidR="004C7895" w:rsidRPr="00C030E9" w:rsidRDefault="004C7895" w:rsidP="004C7895">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C030E9">
              <w:rPr>
                <w:rFonts w:asciiTheme="minorHAnsi" w:hAnsiTheme="minorHAnsi" w:cstheme="minorHAnsi"/>
                <w:sz w:val="18"/>
                <w:szCs w:val="18"/>
              </w:rPr>
              <w:t>199</w:t>
            </w:r>
          </w:p>
        </w:tc>
        <w:tc>
          <w:tcPr>
            <w:tcW w:w="774" w:type="dxa"/>
            <w:noWrap/>
            <w:hideMark/>
          </w:tcPr>
          <w:p w14:paraId="09E702E1" w14:textId="7C0E70BA" w:rsidR="004C7895" w:rsidRPr="00C030E9" w:rsidRDefault="004C7895" w:rsidP="004C7895">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C030E9">
              <w:rPr>
                <w:rFonts w:asciiTheme="minorHAnsi" w:hAnsiTheme="minorHAnsi" w:cstheme="minorHAnsi"/>
                <w:sz w:val="18"/>
                <w:szCs w:val="18"/>
              </w:rPr>
              <w:t>28</w:t>
            </w:r>
          </w:p>
        </w:tc>
        <w:tc>
          <w:tcPr>
            <w:tcW w:w="924" w:type="dxa"/>
            <w:noWrap/>
            <w:hideMark/>
          </w:tcPr>
          <w:p w14:paraId="7E66176C" w14:textId="59CB2402" w:rsidR="004C7895" w:rsidRPr="00C030E9" w:rsidRDefault="004C7895" w:rsidP="004C7895">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C030E9">
              <w:rPr>
                <w:rFonts w:asciiTheme="minorHAnsi" w:hAnsiTheme="minorHAnsi" w:cstheme="minorHAnsi"/>
                <w:sz w:val="18"/>
                <w:szCs w:val="18"/>
              </w:rPr>
              <w:t>2497</w:t>
            </w:r>
          </w:p>
        </w:tc>
        <w:tc>
          <w:tcPr>
            <w:tcW w:w="944" w:type="dxa"/>
            <w:noWrap/>
            <w:hideMark/>
          </w:tcPr>
          <w:p w14:paraId="2D9D9873" w14:textId="04E795BA" w:rsidR="004C7895" w:rsidRPr="00C030E9" w:rsidRDefault="004C7895" w:rsidP="004C7895">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C030E9">
              <w:rPr>
                <w:rFonts w:asciiTheme="minorHAnsi" w:hAnsiTheme="minorHAnsi" w:cstheme="minorHAnsi"/>
                <w:sz w:val="18"/>
                <w:szCs w:val="18"/>
              </w:rPr>
              <w:t>408</w:t>
            </w:r>
          </w:p>
        </w:tc>
        <w:tc>
          <w:tcPr>
            <w:tcW w:w="774" w:type="dxa"/>
            <w:noWrap/>
            <w:hideMark/>
          </w:tcPr>
          <w:p w14:paraId="11EE4454" w14:textId="77777777" w:rsidR="004C7895" w:rsidRPr="00C030E9" w:rsidRDefault="004C7895" w:rsidP="004C7895">
            <w:pPr>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C030E9">
              <w:rPr>
                <w:rFonts w:asciiTheme="minorHAnsi" w:hAnsiTheme="minorHAnsi" w:cstheme="minorHAnsi"/>
                <w:sz w:val="18"/>
                <w:szCs w:val="18"/>
              </w:rPr>
              <w:t> </w:t>
            </w:r>
          </w:p>
        </w:tc>
        <w:tc>
          <w:tcPr>
            <w:tcW w:w="886" w:type="dxa"/>
            <w:noWrap/>
            <w:hideMark/>
          </w:tcPr>
          <w:p w14:paraId="7CC0081A" w14:textId="77777777" w:rsidR="004C7895" w:rsidRPr="00C030E9" w:rsidRDefault="004C7895" w:rsidP="004C7895">
            <w:pPr>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C030E9">
              <w:rPr>
                <w:rFonts w:asciiTheme="minorHAnsi" w:hAnsiTheme="minorHAnsi" w:cstheme="minorHAnsi"/>
                <w:sz w:val="18"/>
                <w:szCs w:val="18"/>
              </w:rPr>
              <w:t> </w:t>
            </w:r>
          </w:p>
        </w:tc>
        <w:tc>
          <w:tcPr>
            <w:tcW w:w="886" w:type="dxa"/>
            <w:noWrap/>
            <w:hideMark/>
          </w:tcPr>
          <w:p w14:paraId="6E03D97C" w14:textId="77777777" w:rsidR="004C7895" w:rsidRPr="00C030E9" w:rsidRDefault="004C7895" w:rsidP="004C7895">
            <w:pPr>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C030E9">
              <w:rPr>
                <w:rFonts w:asciiTheme="minorHAnsi" w:hAnsiTheme="minorHAnsi" w:cstheme="minorHAnsi"/>
                <w:sz w:val="18"/>
                <w:szCs w:val="18"/>
              </w:rPr>
              <w:t> </w:t>
            </w:r>
          </w:p>
        </w:tc>
        <w:tc>
          <w:tcPr>
            <w:tcW w:w="740" w:type="dxa"/>
            <w:noWrap/>
            <w:hideMark/>
          </w:tcPr>
          <w:p w14:paraId="24BB569F" w14:textId="22100A5F" w:rsidR="004C7895" w:rsidRPr="00C030E9" w:rsidRDefault="004C7895" w:rsidP="004C7895">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C030E9">
              <w:rPr>
                <w:rFonts w:asciiTheme="minorHAnsi" w:hAnsiTheme="minorHAnsi" w:cstheme="minorHAnsi"/>
                <w:sz w:val="18"/>
                <w:szCs w:val="18"/>
              </w:rPr>
              <w:t>653</w:t>
            </w:r>
          </w:p>
        </w:tc>
        <w:tc>
          <w:tcPr>
            <w:tcW w:w="720" w:type="dxa"/>
            <w:noWrap/>
            <w:hideMark/>
          </w:tcPr>
          <w:p w14:paraId="41F6CCE1" w14:textId="00697D56" w:rsidR="004C7895" w:rsidRPr="00C030E9" w:rsidRDefault="004C7895" w:rsidP="004C7895">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C030E9">
              <w:rPr>
                <w:rFonts w:asciiTheme="minorHAnsi" w:hAnsiTheme="minorHAnsi" w:cstheme="minorHAnsi"/>
                <w:sz w:val="18"/>
                <w:szCs w:val="18"/>
              </w:rPr>
              <w:t>2162</w:t>
            </w:r>
          </w:p>
        </w:tc>
      </w:tr>
      <w:tr w:rsidR="004C7895" w:rsidRPr="00C030E9" w14:paraId="743309F8" w14:textId="77777777" w:rsidTr="004C7895">
        <w:trPr>
          <w:trHeight w:val="300"/>
        </w:trPr>
        <w:tc>
          <w:tcPr>
            <w:cnfStyle w:val="001000000000" w:firstRow="0" w:lastRow="0" w:firstColumn="1" w:lastColumn="0" w:oddVBand="0" w:evenVBand="0" w:oddHBand="0" w:evenHBand="0" w:firstRowFirstColumn="0" w:firstRowLastColumn="0" w:lastRowFirstColumn="0" w:lastRowLastColumn="0"/>
            <w:tcW w:w="1638" w:type="dxa"/>
            <w:noWrap/>
            <w:hideMark/>
          </w:tcPr>
          <w:p w14:paraId="19C4A39E" w14:textId="77777777" w:rsidR="004C7895" w:rsidRPr="00C030E9" w:rsidRDefault="004C7895" w:rsidP="004C7895">
            <w:pPr>
              <w:spacing w:after="0" w:line="240" w:lineRule="auto"/>
              <w:rPr>
                <w:rFonts w:asciiTheme="minorHAnsi" w:hAnsiTheme="minorHAnsi" w:cstheme="minorHAnsi"/>
                <w:sz w:val="18"/>
                <w:szCs w:val="18"/>
              </w:rPr>
            </w:pPr>
            <w:r w:rsidRPr="00C030E9">
              <w:rPr>
                <w:rFonts w:asciiTheme="minorHAnsi" w:hAnsiTheme="minorHAnsi" w:cstheme="minorHAnsi"/>
                <w:sz w:val="18"/>
                <w:szCs w:val="18"/>
              </w:rPr>
              <w:t>Bays&amp;Harbor</w:t>
            </w:r>
          </w:p>
        </w:tc>
        <w:tc>
          <w:tcPr>
            <w:tcW w:w="658" w:type="dxa"/>
            <w:noWrap/>
            <w:hideMark/>
          </w:tcPr>
          <w:p w14:paraId="27C5B27A" w14:textId="77777777" w:rsidR="004C7895" w:rsidRPr="00C030E9" w:rsidRDefault="004C7895" w:rsidP="004C7895">
            <w:pPr>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C030E9">
              <w:rPr>
                <w:rFonts w:asciiTheme="minorHAnsi" w:hAnsiTheme="minorHAnsi" w:cstheme="minorHAnsi"/>
                <w:sz w:val="18"/>
                <w:szCs w:val="18"/>
              </w:rPr>
              <w:t> </w:t>
            </w:r>
          </w:p>
        </w:tc>
        <w:tc>
          <w:tcPr>
            <w:tcW w:w="774" w:type="dxa"/>
            <w:noWrap/>
            <w:hideMark/>
          </w:tcPr>
          <w:p w14:paraId="665CB022" w14:textId="510785F5" w:rsidR="004C7895" w:rsidRPr="00C030E9" w:rsidRDefault="004C7895" w:rsidP="004C7895">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C030E9">
              <w:rPr>
                <w:rFonts w:asciiTheme="minorHAnsi" w:hAnsiTheme="minorHAnsi" w:cstheme="minorHAnsi"/>
                <w:sz w:val="18"/>
                <w:szCs w:val="18"/>
              </w:rPr>
              <w:t>8545</w:t>
            </w:r>
          </w:p>
        </w:tc>
        <w:tc>
          <w:tcPr>
            <w:tcW w:w="924" w:type="dxa"/>
            <w:noWrap/>
            <w:hideMark/>
          </w:tcPr>
          <w:p w14:paraId="0CDE02F0" w14:textId="77777777" w:rsidR="004C7895" w:rsidRPr="00C030E9" w:rsidRDefault="004C7895" w:rsidP="004C7895">
            <w:pPr>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C030E9">
              <w:rPr>
                <w:rFonts w:asciiTheme="minorHAnsi" w:hAnsiTheme="minorHAnsi" w:cstheme="minorHAnsi"/>
                <w:sz w:val="18"/>
                <w:szCs w:val="18"/>
              </w:rPr>
              <w:t> </w:t>
            </w:r>
          </w:p>
        </w:tc>
        <w:tc>
          <w:tcPr>
            <w:tcW w:w="944" w:type="dxa"/>
            <w:noWrap/>
            <w:hideMark/>
          </w:tcPr>
          <w:p w14:paraId="3C236AF5" w14:textId="77777777" w:rsidR="004C7895" w:rsidRPr="00C030E9" w:rsidRDefault="004C7895" w:rsidP="004C7895">
            <w:pPr>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C030E9">
              <w:rPr>
                <w:rFonts w:asciiTheme="minorHAnsi" w:hAnsiTheme="minorHAnsi" w:cstheme="minorHAnsi"/>
                <w:sz w:val="18"/>
                <w:szCs w:val="18"/>
              </w:rPr>
              <w:t> </w:t>
            </w:r>
          </w:p>
        </w:tc>
        <w:tc>
          <w:tcPr>
            <w:tcW w:w="774" w:type="dxa"/>
            <w:noWrap/>
            <w:hideMark/>
          </w:tcPr>
          <w:p w14:paraId="35CB1491" w14:textId="77777777" w:rsidR="004C7895" w:rsidRPr="00C030E9" w:rsidRDefault="004C7895" w:rsidP="004C7895">
            <w:pPr>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C030E9">
              <w:rPr>
                <w:rFonts w:asciiTheme="minorHAnsi" w:hAnsiTheme="minorHAnsi" w:cstheme="minorHAnsi"/>
                <w:sz w:val="18"/>
                <w:szCs w:val="18"/>
              </w:rPr>
              <w:t> </w:t>
            </w:r>
          </w:p>
        </w:tc>
        <w:tc>
          <w:tcPr>
            <w:tcW w:w="886" w:type="dxa"/>
            <w:noWrap/>
            <w:hideMark/>
          </w:tcPr>
          <w:p w14:paraId="4AE0D72A" w14:textId="77777777" w:rsidR="004C7895" w:rsidRPr="00C030E9" w:rsidRDefault="004C7895" w:rsidP="004C7895">
            <w:pPr>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C030E9">
              <w:rPr>
                <w:rFonts w:asciiTheme="minorHAnsi" w:hAnsiTheme="minorHAnsi" w:cstheme="minorHAnsi"/>
                <w:sz w:val="18"/>
                <w:szCs w:val="18"/>
              </w:rPr>
              <w:t> </w:t>
            </w:r>
          </w:p>
        </w:tc>
        <w:tc>
          <w:tcPr>
            <w:tcW w:w="886" w:type="dxa"/>
            <w:noWrap/>
            <w:hideMark/>
          </w:tcPr>
          <w:p w14:paraId="2EAB53F4" w14:textId="77777777" w:rsidR="004C7895" w:rsidRPr="00C030E9" w:rsidRDefault="004C7895" w:rsidP="004C7895">
            <w:pPr>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C030E9">
              <w:rPr>
                <w:rFonts w:asciiTheme="minorHAnsi" w:hAnsiTheme="minorHAnsi" w:cstheme="minorHAnsi"/>
                <w:sz w:val="18"/>
                <w:szCs w:val="18"/>
              </w:rPr>
              <w:t> </w:t>
            </w:r>
          </w:p>
        </w:tc>
        <w:tc>
          <w:tcPr>
            <w:tcW w:w="740" w:type="dxa"/>
            <w:noWrap/>
            <w:hideMark/>
          </w:tcPr>
          <w:p w14:paraId="7DC08E7B" w14:textId="1B7027B8" w:rsidR="004C7895" w:rsidRPr="00C030E9" w:rsidRDefault="004C7895" w:rsidP="004C7895">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C030E9">
              <w:rPr>
                <w:rFonts w:asciiTheme="minorHAnsi" w:hAnsiTheme="minorHAnsi" w:cstheme="minorHAnsi"/>
                <w:sz w:val="18"/>
                <w:szCs w:val="18"/>
              </w:rPr>
              <w:t>767</w:t>
            </w:r>
          </w:p>
        </w:tc>
        <w:tc>
          <w:tcPr>
            <w:tcW w:w="720" w:type="dxa"/>
            <w:noWrap/>
            <w:hideMark/>
          </w:tcPr>
          <w:p w14:paraId="5F26F287" w14:textId="7B8C4163" w:rsidR="004C7895" w:rsidRPr="00C030E9" w:rsidRDefault="004C7895" w:rsidP="004C7895">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C030E9">
              <w:rPr>
                <w:rFonts w:asciiTheme="minorHAnsi" w:hAnsiTheme="minorHAnsi" w:cstheme="minorHAnsi"/>
                <w:sz w:val="18"/>
                <w:szCs w:val="18"/>
              </w:rPr>
              <w:t>12</w:t>
            </w:r>
          </w:p>
        </w:tc>
      </w:tr>
      <w:tr w:rsidR="004C7895" w:rsidRPr="00C030E9" w14:paraId="20C9EC00" w14:textId="77777777" w:rsidTr="00C030E9">
        <w:trPr>
          <w:trHeight w:val="180"/>
        </w:trPr>
        <w:tc>
          <w:tcPr>
            <w:cnfStyle w:val="001000000000" w:firstRow="0" w:lastRow="0" w:firstColumn="1" w:lastColumn="0" w:oddVBand="0" w:evenVBand="0" w:oddHBand="0" w:evenHBand="0" w:firstRowFirstColumn="0" w:firstRowLastColumn="0" w:lastRowFirstColumn="0" w:lastRowLastColumn="0"/>
            <w:tcW w:w="1638" w:type="dxa"/>
            <w:noWrap/>
            <w:hideMark/>
          </w:tcPr>
          <w:p w14:paraId="651262A2" w14:textId="77777777" w:rsidR="004C7895" w:rsidRPr="00C030E9" w:rsidRDefault="004C7895" w:rsidP="004C7895">
            <w:pPr>
              <w:spacing w:after="0" w:line="240" w:lineRule="auto"/>
              <w:rPr>
                <w:rFonts w:asciiTheme="minorHAnsi" w:hAnsiTheme="minorHAnsi" w:cstheme="minorHAnsi"/>
                <w:sz w:val="18"/>
                <w:szCs w:val="18"/>
              </w:rPr>
            </w:pPr>
            <w:r w:rsidRPr="00C030E9">
              <w:rPr>
                <w:rFonts w:asciiTheme="minorHAnsi" w:hAnsiTheme="minorHAnsi" w:cstheme="minorHAnsi"/>
                <w:sz w:val="18"/>
                <w:szCs w:val="18"/>
              </w:rPr>
              <w:t>Lakes&amp;Reservoirs</w:t>
            </w:r>
          </w:p>
        </w:tc>
        <w:tc>
          <w:tcPr>
            <w:tcW w:w="658" w:type="dxa"/>
            <w:noWrap/>
            <w:hideMark/>
          </w:tcPr>
          <w:p w14:paraId="0D5EBE4A" w14:textId="77777777" w:rsidR="004C7895" w:rsidRPr="00C030E9" w:rsidRDefault="004C7895" w:rsidP="004C7895">
            <w:pPr>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C030E9">
              <w:rPr>
                <w:rFonts w:asciiTheme="minorHAnsi" w:hAnsiTheme="minorHAnsi" w:cstheme="minorHAnsi"/>
                <w:sz w:val="18"/>
                <w:szCs w:val="18"/>
              </w:rPr>
              <w:t> </w:t>
            </w:r>
          </w:p>
        </w:tc>
        <w:tc>
          <w:tcPr>
            <w:tcW w:w="774" w:type="dxa"/>
            <w:noWrap/>
            <w:hideMark/>
          </w:tcPr>
          <w:p w14:paraId="06B6E3C5" w14:textId="77777777" w:rsidR="004C7895" w:rsidRPr="00C030E9" w:rsidRDefault="004C7895" w:rsidP="004C7895">
            <w:pPr>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C030E9">
              <w:rPr>
                <w:rFonts w:asciiTheme="minorHAnsi" w:hAnsiTheme="minorHAnsi" w:cstheme="minorHAnsi"/>
                <w:sz w:val="18"/>
                <w:szCs w:val="18"/>
              </w:rPr>
              <w:t> </w:t>
            </w:r>
          </w:p>
        </w:tc>
        <w:tc>
          <w:tcPr>
            <w:tcW w:w="924" w:type="dxa"/>
            <w:noWrap/>
            <w:hideMark/>
          </w:tcPr>
          <w:p w14:paraId="314CA999" w14:textId="6BCAAFE7" w:rsidR="004C7895" w:rsidRPr="00C030E9" w:rsidRDefault="004C7895" w:rsidP="004C7895">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C030E9">
              <w:rPr>
                <w:rFonts w:asciiTheme="minorHAnsi" w:hAnsiTheme="minorHAnsi" w:cstheme="minorHAnsi"/>
                <w:sz w:val="18"/>
                <w:szCs w:val="18"/>
              </w:rPr>
              <w:t>2801</w:t>
            </w:r>
          </w:p>
        </w:tc>
        <w:tc>
          <w:tcPr>
            <w:tcW w:w="944" w:type="dxa"/>
            <w:noWrap/>
            <w:hideMark/>
          </w:tcPr>
          <w:p w14:paraId="651332CA" w14:textId="228C908F" w:rsidR="004C7895" w:rsidRPr="00C030E9" w:rsidRDefault="004C7895" w:rsidP="004C7895">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C030E9">
              <w:rPr>
                <w:rFonts w:asciiTheme="minorHAnsi" w:hAnsiTheme="minorHAnsi" w:cstheme="minorHAnsi"/>
                <w:sz w:val="18"/>
                <w:szCs w:val="18"/>
              </w:rPr>
              <w:t>700</w:t>
            </w:r>
          </w:p>
        </w:tc>
        <w:tc>
          <w:tcPr>
            <w:tcW w:w="774" w:type="dxa"/>
            <w:noWrap/>
            <w:hideMark/>
          </w:tcPr>
          <w:p w14:paraId="2C9051EA" w14:textId="6EC5A20B" w:rsidR="004C7895" w:rsidRPr="00C030E9" w:rsidRDefault="004C7895" w:rsidP="004C7895">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C030E9">
              <w:rPr>
                <w:rFonts w:asciiTheme="minorHAnsi" w:hAnsiTheme="minorHAnsi" w:cstheme="minorHAnsi"/>
                <w:sz w:val="18"/>
                <w:szCs w:val="18"/>
              </w:rPr>
              <w:t>40070</w:t>
            </w:r>
          </w:p>
        </w:tc>
        <w:tc>
          <w:tcPr>
            <w:tcW w:w="886" w:type="dxa"/>
            <w:noWrap/>
            <w:hideMark/>
          </w:tcPr>
          <w:p w14:paraId="37A35261" w14:textId="1910ED22" w:rsidR="004C7895" w:rsidRPr="00C030E9" w:rsidRDefault="004C7895" w:rsidP="004C7895">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C030E9">
              <w:rPr>
                <w:rFonts w:asciiTheme="minorHAnsi" w:hAnsiTheme="minorHAnsi" w:cstheme="minorHAnsi"/>
                <w:sz w:val="18"/>
                <w:szCs w:val="18"/>
              </w:rPr>
              <w:t>115335</w:t>
            </w:r>
          </w:p>
        </w:tc>
        <w:tc>
          <w:tcPr>
            <w:tcW w:w="886" w:type="dxa"/>
            <w:noWrap/>
            <w:hideMark/>
          </w:tcPr>
          <w:p w14:paraId="0F9C1AF3" w14:textId="77777777" w:rsidR="004C7895" w:rsidRPr="00C030E9" w:rsidRDefault="004C7895" w:rsidP="004C7895">
            <w:pPr>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C030E9">
              <w:rPr>
                <w:rFonts w:asciiTheme="minorHAnsi" w:hAnsiTheme="minorHAnsi" w:cstheme="minorHAnsi"/>
                <w:sz w:val="18"/>
                <w:szCs w:val="18"/>
              </w:rPr>
              <w:t> </w:t>
            </w:r>
          </w:p>
        </w:tc>
        <w:tc>
          <w:tcPr>
            <w:tcW w:w="740" w:type="dxa"/>
            <w:noWrap/>
            <w:hideMark/>
          </w:tcPr>
          <w:p w14:paraId="72C2893B" w14:textId="38B07105" w:rsidR="004C7895" w:rsidRPr="00C030E9" w:rsidRDefault="004C7895" w:rsidP="004C7895">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C030E9">
              <w:rPr>
                <w:rFonts w:asciiTheme="minorHAnsi" w:hAnsiTheme="minorHAnsi" w:cstheme="minorHAnsi"/>
                <w:sz w:val="18"/>
                <w:szCs w:val="18"/>
              </w:rPr>
              <w:t>5835</w:t>
            </w:r>
          </w:p>
        </w:tc>
        <w:tc>
          <w:tcPr>
            <w:tcW w:w="720" w:type="dxa"/>
            <w:noWrap/>
            <w:hideMark/>
          </w:tcPr>
          <w:p w14:paraId="2C179C0A" w14:textId="77777777" w:rsidR="004C7895" w:rsidRPr="00C030E9" w:rsidRDefault="004C7895" w:rsidP="004C7895">
            <w:pPr>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C030E9">
              <w:rPr>
                <w:rFonts w:asciiTheme="minorHAnsi" w:hAnsiTheme="minorHAnsi" w:cstheme="minorHAnsi"/>
                <w:sz w:val="18"/>
                <w:szCs w:val="18"/>
              </w:rPr>
              <w:t> </w:t>
            </w:r>
          </w:p>
        </w:tc>
      </w:tr>
      <w:tr w:rsidR="004C7895" w:rsidRPr="00C030E9" w14:paraId="60FACEA2" w14:textId="77777777" w:rsidTr="00C030E9">
        <w:trPr>
          <w:trHeight w:val="117"/>
        </w:trPr>
        <w:tc>
          <w:tcPr>
            <w:cnfStyle w:val="001000000000" w:firstRow="0" w:lastRow="0" w:firstColumn="1" w:lastColumn="0" w:oddVBand="0" w:evenVBand="0" w:oddHBand="0" w:evenHBand="0" w:firstRowFirstColumn="0" w:firstRowLastColumn="0" w:lastRowFirstColumn="0" w:lastRowLastColumn="0"/>
            <w:tcW w:w="1638" w:type="dxa"/>
            <w:noWrap/>
            <w:hideMark/>
          </w:tcPr>
          <w:p w14:paraId="7D6F7099" w14:textId="77777777" w:rsidR="004C7895" w:rsidRPr="00C030E9" w:rsidRDefault="004C7895" w:rsidP="004C7895">
            <w:pPr>
              <w:spacing w:after="0" w:line="240" w:lineRule="auto"/>
              <w:rPr>
                <w:rFonts w:asciiTheme="minorHAnsi" w:hAnsiTheme="minorHAnsi" w:cstheme="minorHAnsi"/>
                <w:sz w:val="18"/>
                <w:szCs w:val="18"/>
              </w:rPr>
            </w:pPr>
            <w:r w:rsidRPr="00C030E9">
              <w:rPr>
                <w:rFonts w:asciiTheme="minorHAnsi" w:hAnsiTheme="minorHAnsi" w:cstheme="minorHAnsi"/>
                <w:sz w:val="18"/>
                <w:szCs w:val="18"/>
              </w:rPr>
              <w:t>Wetland/Tidal</w:t>
            </w:r>
          </w:p>
        </w:tc>
        <w:tc>
          <w:tcPr>
            <w:tcW w:w="658" w:type="dxa"/>
            <w:noWrap/>
            <w:hideMark/>
          </w:tcPr>
          <w:p w14:paraId="373F8B0E" w14:textId="77777777" w:rsidR="004C7895" w:rsidRPr="00C030E9" w:rsidRDefault="004C7895" w:rsidP="004C7895">
            <w:pPr>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C030E9">
              <w:rPr>
                <w:rFonts w:asciiTheme="minorHAnsi" w:hAnsiTheme="minorHAnsi" w:cstheme="minorHAnsi"/>
                <w:sz w:val="18"/>
                <w:szCs w:val="18"/>
              </w:rPr>
              <w:t> </w:t>
            </w:r>
          </w:p>
        </w:tc>
        <w:tc>
          <w:tcPr>
            <w:tcW w:w="774" w:type="dxa"/>
            <w:noWrap/>
            <w:hideMark/>
          </w:tcPr>
          <w:p w14:paraId="1BC65A1A" w14:textId="28AAE18C" w:rsidR="004C7895" w:rsidRPr="00C030E9" w:rsidRDefault="004C7895" w:rsidP="004C7895">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C030E9">
              <w:rPr>
                <w:rFonts w:asciiTheme="minorHAnsi" w:hAnsiTheme="minorHAnsi" w:cstheme="minorHAnsi"/>
                <w:sz w:val="18"/>
                <w:szCs w:val="18"/>
              </w:rPr>
              <w:t>66339</w:t>
            </w:r>
          </w:p>
        </w:tc>
        <w:tc>
          <w:tcPr>
            <w:tcW w:w="924" w:type="dxa"/>
            <w:noWrap/>
            <w:hideMark/>
          </w:tcPr>
          <w:p w14:paraId="237B4BE6" w14:textId="77777777" w:rsidR="004C7895" w:rsidRPr="00C030E9" w:rsidRDefault="004C7895" w:rsidP="004C7895">
            <w:pPr>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C030E9">
              <w:rPr>
                <w:rFonts w:asciiTheme="minorHAnsi" w:hAnsiTheme="minorHAnsi" w:cstheme="minorHAnsi"/>
                <w:sz w:val="18"/>
                <w:szCs w:val="18"/>
              </w:rPr>
              <w:t> </w:t>
            </w:r>
          </w:p>
        </w:tc>
        <w:tc>
          <w:tcPr>
            <w:tcW w:w="944" w:type="dxa"/>
            <w:noWrap/>
            <w:hideMark/>
          </w:tcPr>
          <w:p w14:paraId="4C1B6FB9" w14:textId="05927A0C" w:rsidR="004C7895" w:rsidRPr="00C030E9" w:rsidRDefault="004C7895" w:rsidP="004C7895">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C030E9">
              <w:rPr>
                <w:rFonts w:asciiTheme="minorHAnsi" w:hAnsiTheme="minorHAnsi" w:cstheme="minorHAnsi"/>
                <w:sz w:val="18"/>
                <w:szCs w:val="18"/>
              </w:rPr>
              <w:t>30</w:t>
            </w:r>
          </w:p>
        </w:tc>
        <w:tc>
          <w:tcPr>
            <w:tcW w:w="774" w:type="dxa"/>
            <w:noWrap/>
            <w:hideMark/>
          </w:tcPr>
          <w:p w14:paraId="5399FCC0" w14:textId="77777777" w:rsidR="004C7895" w:rsidRPr="00C030E9" w:rsidRDefault="004C7895" w:rsidP="004C7895">
            <w:pPr>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C030E9">
              <w:rPr>
                <w:rFonts w:asciiTheme="minorHAnsi" w:hAnsiTheme="minorHAnsi" w:cstheme="minorHAnsi"/>
                <w:sz w:val="18"/>
                <w:szCs w:val="18"/>
              </w:rPr>
              <w:t> </w:t>
            </w:r>
          </w:p>
        </w:tc>
        <w:tc>
          <w:tcPr>
            <w:tcW w:w="886" w:type="dxa"/>
            <w:noWrap/>
            <w:hideMark/>
          </w:tcPr>
          <w:p w14:paraId="558224D8" w14:textId="77777777" w:rsidR="004C7895" w:rsidRPr="00C030E9" w:rsidRDefault="004C7895" w:rsidP="004C7895">
            <w:pPr>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C030E9">
              <w:rPr>
                <w:rFonts w:asciiTheme="minorHAnsi" w:hAnsiTheme="minorHAnsi" w:cstheme="minorHAnsi"/>
                <w:sz w:val="18"/>
                <w:szCs w:val="18"/>
              </w:rPr>
              <w:t> </w:t>
            </w:r>
          </w:p>
        </w:tc>
        <w:tc>
          <w:tcPr>
            <w:tcW w:w="886" w:type="dxa"/>
            <w:noWrap/>
            <w:hideMark/>
          </w:tcPr>
          <w:p w14:paraId="7CCC5D2A" w14:textId="77777777" w:rsidR="004C7895" w:rsidRPr="00C030E9" w:rsidRDefault="004C7895" w:rsidP="004C7895">
            <w:pPr>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C030E9">
              <w:rPr>
                <w:rFonts w:asciiTheme="minorHAnsi" w:hAnsiTheme="minorHAnsi" w:cstheme="minorHAnsi"/>
                <w:sz w:val="18"/>
                <w:szCs w:val="18"/>
              </w:rPr>
              <w:t> </w:t>
            </w:r>
          </w:p>
        </w:tc>
        <w:tc>
          <w:tcPr>
            <w:tcW w:w="740" w:type="dxa"/>
            <w:noWrap/>
            <w:hideMark/>
          </w:tcPr>
          <w:p w14:paraId="471F0746" w14:textId="77777777" w:rsidR="004C7895" w:rsidRPr="00C030E9" w:rsidRDefault="004C7895" w:rsidP="004C7895">
            <w:pPr>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C030E9">
              <w:rPr>
                <w:rFonts w:asciiTheme="minorHAnsi" w:hAnsiTheme="minorHAnsi" w:cstheme="minorHAnsi"/>
                <w:sz w:val="18"/>
                <w:szCs w:val="18"/>
              </w:rPr>
              <w:t> </w:t>
            </w:r>
          </w:p>
        </w:tc>
        <w:tc>
          <w:tcPr>
            <w:tcW w:w="720" w:type="dxa"/>
            <w:noWrap/>
            <w:hideMark/>
          </w:tcPr>
          <w:p w14:paraId="0C66DB61" w14:textId="69F9F201" w:rsidR="004C7895" w:rsidRPr="00C030E9" w:rsidRDefault="004C7895" w:rsidP="004C7895">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C030E9">
              <w:rPr>
                <w:rFonts w:asciiTheme="minorHAnsi" w:hAnsiTheme="minorHAnsi" w:cstheme="minorHAnsi"/>
                <w:sz w:val="18"/>
                <w:szCs w:val="18"/>
              </w:rPr>
              <w:t>5507</w:t>
            </w:r>
          </w:p>
        </w:tc>
      </w:tr>
      <w:tr w:rsidR="004C7895" w:rsidRPr="00C030E9" w14:paraId="7C1F231F" w14:textId="77777777" w:rsidTr="00C030E9">
        <w:trPr>
          <w:trHeight w:val="81"/>
        </w:trPr>
        <w:tc>
          <w:tcPr>
            <w:cnfStyle w:val="001000000000" w:firstRow="0" w:lastRow="0" w:firstColumn="1" w:lastColumn="0" w:oddVBand="0" w:evenVBand="0" w:oddHBand="0" w:evenHBand="0" w:firstRowFirstColumn="0" w:firstRowLastColumn="0" w:lastRowFirstColumn="0" w:lastRowLastColumn="0"/>
            <w:tcW w:w="1638" w:type="dxa"/>
            <w:noWrap/>
            <w:hideMark/>
          </w:tcPr>
          <w:p w14:paraId="10D6181D" w14:textId="77777777" w:rsidR="004C7895" w:rsidRPr="00C030E9" w:rsidRDefault="004C7895" w:rsidP="004C7895">
            <w:pPr>
              <w:spacing w:after="0" w:line="240" w:lineRule="auto"/>
              <w:rPr>
                <w:rFonts w:asciiTheme="minorHAnsi" w:hAnsiTheme="minorHAnsi" w:cstheme="minorHAnsi"/>
                <w:sz w:val="18"/>
                <w:szCs w:val="18"/>
              </w:rPr>
            </w:pPr>
            <w:r w:rsidRPr="00C030E9">
              <w:rPr>
                <w:rFonts w:asciiTheme="minorHAnsi" w:hAnsiTheme="minorHAnsi" w:cstheme="minorHAnsi"/>
                <w:sz w:val="18"/>
                <w:szCs w:val="18"/>
              </w:rPr>
              <w:t>Saline Lake</w:t>
            </w:r>
          </w:p>
        </w:tc>
        <w:tc>
          <w:tcPr>
            <w:tcW w:w="658" w:type="dxa"/>
            <w:noWrap/>
            <w:hideMark/>
          </w:tcPr>
          <w:p w14:paraId="0067BC4C" w14:textId="77777777" w:rsidR="004C7895" w:rsidRPr="00C030E9" w:rsidRDefault="004C7895" w:rsidP="004C7895">
            <w:pPr>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C030E9">
              <w:rPr>
                <w:rFonts w:asciiTheme="minorHAnsi" w:hAnsiTheme="minorHAnsi" w:cstheme="minorHAnsi"/>
                <w:sz w:val="18"/>
                <w:szCs w:val="18"/>
              </w:rPr>
              <w:t> </w:t>
            </w:r>
          </w:p>
        </w:tc>
        <w:tc>
          <w:tcPr>
            <w:tcW w:w="774" w:type="dxa"/>
            <w:noWrap/>
            <w:hideMark/>
          </w:tcPr>
          <w:p w14:paraId="26AF6616" w14:textId="77777777" w:rsidR="004C7895" w:rsidRPr="00C030E9" w:rsidRDefault="004C7895" w:rsidP="004C7895">
            <w:pPr>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C030E9">
              <w:rPr>
                <w:rFonts w:asciiTheme="minorHAnsi" w:hAnsiTheme="minorHAnsi" w:cstheme="minorHAnsi"/>
                <w:sz w:val="18"/>
                <w:szCs w:val="18"/>
              </w:rPr>
              <w:t> </w:t>
            </w:r>
          </w:p>
        </w:tc>
        <w:tc>
          <w:tcPr>
            <w:tcW w:w="924" w:type="dxa"/>
            <w:noWrap/>
            <w:hideMark/>
          </w:tcPr>
          <w:p w14:paraId="31EC0F7E" w14:textId="77777777" w:rsidR="004C7895" w:rsidRPr="00C030E9" w:rsidRDefault="004C7895" w:rsidP="004C7895">
            <w:pPr>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C030E9">
              <w:rPr>
                <w:rFonts w:asciiTheme="minorHAnsi" w:hAnsiTheme="minorHAnsi" w:cstheme="minorHAnsi"/>
                <w:sz w:val="18"/>
                <w:szCs w:val="18"/>
              </w:rPr>
              <w:t> </w:t>
            </w:r>
          </w:p>
        </w:tc>
        <w:tc>
          <w:tcPr>
            <w:tcW w:w="944" w:type="dxa"/>
            <w:noWrap/>
            <w:hideMark/>
          </w:tcPr>
          <w:p w14:paraId="481B3129" w14:textId="77777777" w:rsidR="004C7895" w:rsidRPr="00C030E9" w:rsidRDefault="004C7895" w:rsidP="004C7895">
            <w:pPr>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C030E9">
              <w:rPr>
                <w:rFonts w:asciiTheme="minorHAnsi" w:hAnsiTheme="minorHAnsi" w:cstheme="minorHAnsi"/>
                <w:sz w:val="18"/>
                <w:szCs w:val="18"/>
              </w:rPr>
              <w:t> </w:t>
            </w:r>
          </w:p>
        </w:tc>
        <w:tc>
          <w:tcPr>
            <w:tcW w:w="774" w:type="dxa"/>
            <w:noWrap/>
            <w:hideMark/>
          </w:tcPr>
          <w:p w14:paraId="5639CA4F" w14:textId="77777777" w:rsidR="004C7895" w:rsidRPr="00C030E9" w:rsidRDefault="004C7895" w:rsidP="004C7895">
            <w:pPr>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C030E9">
              <w:rPr>
                <w:rFonts w:asciiTheme="minorHAnsi" w:hAnsiTheme="minorHAnsi" w:cstheme="minorHAnsi"/>
                <w:sz w:val="18"/>
                <w:szCs w:val="18"/>
              </w:rPr>
              <w:t> </w:t>
            </w:r>
          </w:p>
        </w:tc>
        <w:tc>
          <w:tcPr>
            <w:tcW w:w="886" w:type="dxa"/>
            <w:noWrap/>
            <w:hideMark/>
          </w:tcPr>
          <w:p w14:paraId="02131F6E" w14:textId="77777777" w:rsidR="004C7895" w:rsidRPr="00C030E9" w:rsidRDefault="004C7895" w:rsidP="004C7895">
            <w:pPr>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C030E9">
              <w:rPr>
                <w:rFonts w:asciiTheme="minorHAnsi" w:hAnsiTheme="minorHAnsi" w:cstheme="minorHAnsi"/>
                <w:sz w:val="18"/>
                <w:szCs w:val="18"/>
              </w:rPr>
              <w:t> </w:t>
            </w:r>
          </w:p>
        </w:tc>
        <w:tc>
          <w:tcPr>
            <w:tcW w:w="886" w:type="dxa"/>
            <w:noWrap/>
            <w:hideMark/>
          </w:tcPr>
          <w:p w14:paraId="32A97390" w14:textId="17F3C911" w:rsidR="004C7895" w:rsidRPr="00C030E9" w:rsidRDefault="004C7895" w:rsidP="004C7895">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C030E9">
              <w:rPr>
                <w:rFonts w:asciiTheme="minorHAnsi" w:hAnsiTheme="minorHAnsi" w:cstheme="minorHAnsi"/>
                <w:sz w:val="18"/>
                <w:szCs w:val="18"/>
              </w:rPr>
              <w:t>233045</w:t>
            </w:r>
          </w:p>
        </w:tc>
        <w:tc>
          <w:tcPr>
            <w:tcW w:w="740" w:type="dxa"/>
            <w:noWrap/>
            <w:hideMark/>
          </w:tcPr>
          <w:p w14:paraId="29C3226C" w14:textId="77777777" w:rsidR="004C7895" w:rsidRPr="00C030E9" w:rsidRDefault="004C7895" w:rsidP="004C7895">
            <w:pPr>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C030E9">
              <w:rPr>
                <w:rFonts w:asciiTheme="minorHAnsi" w:hAnsiTheme="minorHAnsi" w:cstheme="minorHAnsi"/>
                <w:sz w:val="18"/>
                <w:szCs w:val="18"/>
              </w:rPr>
              <w:t> </w:t>
            </w:r>
          </w:p>
        </w:tc>
        <w:tc>
          <w:tcPr>
            <w:tcW w:w="720" w:type="dxa"/>
            <w:noWrap/>
            <w:hideMark/>
          </w:tcPr>
          <w:p w14:paraId="3E0C622D" w14:textId="77777777" w:rsidR="004C7895" w:rsidRPr="00C030E9" w:rsidRDefault="004C7895" w:rsidP="004C7895">
            <w:pPr>
              <w:spacing w:after="0" w:line="240"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18"/>
                <w:szCs w:val="18"/>
              </w:rPr>
            </w:pPr>
            <w:r w:rsidRPr="00C030E9">
              <w:rPr>
                <w:rFonts w:asciiTheme="minorHAnsi" w:hAnsiTheme="minorHAnsi" w:cstheme="minorHAnsi"/>
                <w:sz w:val="18"/>
                <w:szCs w:val="18"/>
              </w:rPr>
              <w:t> </w:t>
            </w:r>
          </w:p>
        </w:tc>
      </w:tr>
      <w:tr w:rsidR="004C7895" w:rsidRPr="00C030E9" w14:paraId="0CDE17D0" w14:textId="77777777" w:rsidTr="00C030E9">
        <w:trPr>
          <w:trHeight w:val="126"/>
        </w:trPr>
        <w:tc>
          <w:tcPr>
            <w:cnfStyle w:val="001000000000" w:firstRow="0" w:lastRow="0" w:firstColumn="1" w:lastColumn="0" w:oddVBand="0" w:evenVBand="0" w:oddHBand="0" w:evenHBand="0" w:firstRowFirstColumn="0" w:firstRowLastColumn="0" w:lastRowFirstColumn="0" w:lastRowLastColumn="0"/>
            <w:tcW w:w="1638" w:type="dxa"/>
            <w:noWrap/>
            <w:hideMark/>
          </w:tcPr>
          <w:p w14:paraId="5193671A" w14:textId="77777777" w:rsidR="004C7895" w:rsidRPr="00C030E9" w:rsidRDefault="004C7895" w:rsidP="004C7895">
            <w:pPr>
              <w:spacing w:after="0" w:line="240" w:lineRule="auto"/>
              <w:rPr>
                <w:rFonts w:asciiTheme="minorHAnsi" w:hAnsiTheme="minorHAnsi" w:cstheme="minorHAnsi"/>
                <w:b w:val="0"/>
                <w:sz w:val="18"/>
                <w:szCs w:val="18"/>
              </w:rPr>
            </w:pPr>
            <w:r w:rsidRPr="00C030E9">
              <w:rPr>
                <w:rFonts w:asciiTheme="minorHAnsi" w:hAnsiTheme="minorHAnsi" w:cstheme="minorHAnsi"/>
                <w:sz w:val="18"/>
                <w:szCs w:val="18"/>
              </w:rPr>
              <w:t>Total Acres</w:t>
            </w:r>
          </w:p>
        </w:tc>
        <w:tc>
          <w:tcPr>
            <w:tcW w:w="658" w:type="dxa"/>
            <w:noWrap/>
            <w:hideMark/>
          </w:tcPr>
          <w:p w14:paraId="1EE7409E" w14:textId="77777777" w:rsidR="004C7895" w:rsidRPr="00C030E9" w:rsidRDefault="004C7895" w:rsidP="004C7895">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C030E9">
              <w:rPr>
                <w:rFonts w:asciiTheme="minorHAnsi" w:hAnsiTheme="minorHAnsi" w:cstheme="minorHAnsi"/>
                <w:b/>
                <w:sz w:val="18"/>
                <w:szCs w:val="18"/>
              </w:rPr>
              <w:t>199</w:t>
            </w:r>
          </w:p>
        </w:tc>
        <w:tc>
          <w:tcPr>
            <w:tcW w:w="774" w:type="dxa"/>
            <w:noWrap/>
            <w:hideMark/>
          </w:tcPr>
          <w:p w14:paraId="28A69DA7" w14:textId="3E9B6DA9" w:rsidR="004C7895" w:rsidRPr="00C030E9" w:rsidRDefault="004C7895" w:rsidP="004C7895">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C030E9">
              <w:rPr>
                <w:rFonts w:asciiTheme="minorHAnsi" w:hAnsiTheme="minorHAnsi" w:cstheme="minorHAnsi"/>
                <w:b/>
                <w:sz w:val="18"/>
                <w:szCs w:val="18"/>
              </w:rPr>
              <w:t>74913</w:t>
            </w:r>
          </w:p>
        </w:tc>
        <w:tc>
          <w:tcPr>
            <w:tcW w:w="924" w:type="dxa"/>
            <w:noWrap/>
            <w:hideMark/>
          </w:tcPr>
          <w:p w14:paraId="1AFAE89C" w14:textId="61313A90" w:rsidR="004C7895" w:rsidRPr="00C030E9" w:rsidRDefault="004C7895" w:rsidP="004C7895">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C030E9">
              <w:rPr>
                <w:rFonts w:asciiTheme="minorHAnsi" w:hAnsiTheme="minorHAnsi" w:cstheme="minorHAnsi"/>
                <w:b/>
                <w:sz w:val="18"/>
                <w:szCs w:val="18"/>
              </w:rPr>
              <w:t>5298</w:t>
            </w:r>
          </w:p>
        </w:tc>
        <w:tc>
          <w:tcPr>
            <w:tcW w:w="944" w:type="dxa"/>
            <w:noWrap/>
            <w:hideMark/>
          </w:tcPr>
          <w:p w14:paraId="26BA7374" w14:textId="1E81A5E2" w:rsidR="004C7895" w:rsidRPr="00C030E9" w:rsidRDefault="004C7895" w:rsidP="004C7895">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C030E9">
              <w:rPr>
                <w:rFonts w:asciiTheme="minorHAnsi" w:hAnsiTheme="minorHAnsi" w:cstheme="minorHAnsi"/>
                <w:b/>
                <w:sz w:val="18"/>
                <w:szCs w:val="18"/>
              </w:rPr>
              <w:t>1138</w:t>
            </w:r>
          </w:p>
        </w:tc>
        <w:tc>
          <w:tcPr>
            <w:tcW w:w="774" w:type="dxa"/>
            <w:noWrap/>
            <w:hideMark/>
          </w:tcPr>
          <w:p w14:paraId="59EBE741" w14:textId="2EE6831F" w:rsidR="004C7895" w:rsidRPr="00C030E9" w:rsidRDefault="004C7895" w:rsidP="004C7895">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C030E9">
              <w:rPr>
                <w:rFonts w:asciiTheme="minorHAnsi" w:hAnsiTheme="minorHAnsi" w:cstheme="minorHAnsi"/>
                <w:b/>
                <w:sz w:val="18"/>
                <w:szCs w:val="18"/>
              </w:rPr>
              <w:t>40070</w:t>
            </w:r>
          </w:p>
        </w:tc>
        <w:tc>
          <w:tcPr>
            <w:tcW w:w="886" w:type="dxa"/>
            <w:noWrap/>
            <w:hideMark/>
          </w:tcPr>
          <w:p w14:paraId="4A1398B5" w14:textId="4741BD65" w:rsidR="004C7895" w:rsidRPr="00C030E9" w:rsidRDefault="004C7895" w:rsidP="004C7895">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C030E9">
              <w:rPr>
                <w:rFonts w:asciiTheme="minorHAnsi" w:hAnsiTheme="minorHAnsi" w:cstheme="minorHAnsi"/>
                <w:b/>
                <w:sz w:val="18"/>
                <w:szCs w:val="18"/>
              </w:rPr>
              <w:t>115335</w:t>
            </w:r>
          </w:p>
        </w:tc>
        <w:tc>
          <w:tcPr>
            <w:tcW w:w="886" w:type="dxa"/>
            <w:noWrap/>
            <w:hideMark/>
          </w:tcPr>
          <w:p w14:paraId="6CD62766" w14:textId="742DC875" w:rsidR="004C7895" w:rsidRPr="00C030E9" w:rsidRDefault="004C7895" w:rsidP="004C7895">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C030E9">
              <w:rPr>
                <w:rFonts w:asciiTheme="minorHAnsi" w:hAnsiTheme="minorHAnsi" w:cstheme="minorHAnsi"/>
                <w:b/>
                <w:sz w:val="18"/>
                <w:szCs w:val="18"/>
              </w:rPr>
              <w:t>233045</w:t>
            </w:r>
          </w:p>
        </w:tc>
        <w:tc>
          <w:tcPr>
            <w:tcW w:w="740" w:type="dxa"/>
            <w:noWrap/>
            <w:hideMark/>
          </w:tcPr>
          <w:p w14:paraId="6EB2777A" w14:textId="091B68B3" w:rsidR="004C7895" w:rsidRPr="00C030E9" w:rsidRDefault="004C7895" w:rsidP="004C7895">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C030E9">
              <w:rPr>
                <w:rFonts w:asciiTheme="minorHAnsi" w:hAnsiTheme="minorHAnsi" w:cstheme="minorHAnsi"/>
                <w:b/>
                <w:sz w:val="18"/>
                <w:szCs w:val="18"/>
              </w:rPr>
              <w:t>7256</w:t>
            </w:r>
          </w:p>
        </w:tc>
        <w:tc>
          <w:tcPr>
            <w:tcW w:w="720" w:type="dxa"/>
            <w:noWrap/>
            <w:hideMark/>
          </w:tcPr>
          <w:p w14:paraId="4F9E743D" w14:textId="34C5FF2F" w:rsidR="004C7895" w:rsidRPr="00C030E9" w:rsidRDefault="004C7895" w:rsidP="004C7895">
            <w:pPr>
              <w:spacing w:after="0" w:line="240"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sz w:val="18"/>
                <w:szCs w:val="18"/>
              </w:rPr>
            </w:pPr>
            <w:r w:rsidRPr="00C030E9">
              <w:rPr>
                <w:rFonts w:asciiTheme="minorHAnsi" w:hAnsiTheme="minorHAnsi" w:cstheme="minorHAnsi"/>
                <w:b/>
                <w:sz w:val="18"/>
                <w:szCs w:val="18"/>
              </w:rPr>
              <w:t>7681</w:t>
            </w:r>
          </w:p>
        </w:tc>
      </w:tr>
    </w:tbl>
    <w:tbl>
      <w:tblPr>
        <w:tblStyle w:val="PlainTable41"/>
        <w:tblW w:w="9360" w:type="dxa"/>
        <w:tblLayout w:type="fixed"/>
        <w:tblLook w:val="04A0" w:firstRow="1" w:lastRow="0" w:firstColumn="1" w:lastColumn="0" w:noHBand="0" w:noVBand="1"/>
      </w:tblPr>
      <w:tblGrid>
        <w:gridCol w:w="4680"/>
        <w:gridCol w:w="4680"/>
      </w:tblGrid>
      <w:tr w:rsidR="00335DBC" w14:paraId="4C483836" w14:textId="77777777" w:rsidTr="00544D95">
        <w:trPr>
          <w:cnfStyle w:val="100000000000" w:firstRow="1" w:lastRow="0" w:firstColumn="0" w:lastColumn="0" w:oddVBand="0" w:evenVBand="0" w:oddHBand="0" w:evenHBand="0" w:firstRowFirstColumn="0" w:firstRowLastColumn="0" w:lastRowFirstColumn="0" w:lastRowLastColumn="0"/>
          <w:trHeight w:val="4752"/>
        </w:trPr>
        <w:tc>
          <w:tcPr>
            <w:cnfStyle w:val="001000000000" w:firstRow="0" w:lastRow="0" w:firstColumn="1" w:lastColumn="0" w:oddVBand="0" w:evenVBand="0" w:oddHBand="0" w:evenHBand="0" w:firstRowFirstColumn="0" w:firstRowLastColumn="0" w:lastRowFirstColumn="0" w:lastRowLastColumn="0"/>
            <w:tcW w:w="4680" w:type="dxa"/>
          </w:tcPr>
          <w:p w14:paraId="165B35F7" w14:textId="77777777" w:rsidR="00335DBC" w:rsidRDefault="00335DBC" w:rsidP="00335DBC">
            <w:pPr>
              <w:jc w:val="right"/>
            </w:pPr>
            <w:r w:rsidRPr="00D91223">
              <w:rPr>
                <w:noProof/>
                <w:lang w:eastAsia="zh-CN" w:bidi="ar-SA"/>
              </w:rPr>
              <w:drawing>
                <wp:inline distT="0" distB="0" distL="0" distR="0" wp14:anchorId="4B4F271B" wp14:editId="657F62C2">
                  <wp:extent cx="2913184" cy="2926080"/>
                  <wp:effectExtent l="0" t="0" r="1905" b="7620"/>
                  <wp:docPr id="8" name="Picture 7">
                    <a:extLst xmlns:a="http://schemas.openxmlformats.org/drawingml/2006/main">
                      <a:ext uri="{FF2B5EF4-FFF2-40B4-BE49-F238E27FC236}">
                        <a16:creationId xmlns:a16="http://schemas.microsoft.com/office/drawing/2014/main" id="{30BC84E6-9200-4EC8-9E85-97382D095FE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id="{30BC84E6-9200-4EC8-9E85-97382D095FED}"/>
                              </a:ext>
                            </a:extLst>
                          </pic:cNvPr>
                          <pic:cNvPicPr>
                            <a:picLocks noChangeAspect="1"/>
                          </pic:cNvPicPr>
                        </pic:nvPicPr>
                        <pic:blipFill rotWithShape="1">
                          <a:blip r:embed="rId10">
                            <a:extLst>
                              <a:ext uri="{28A0092B-C50C-407E-A947-70E740481C1C}">
                                <a14:useLocalDpi xmlns:a14="http://schemas.microsoft.com/office/drawing/2010/main" val="0"/>
                              </a:ext>
                            </a:extLst>
                          </a:blip>
                          <a:srcRect l="27474" r="6305"/>
                          <a:stretch/>
                        </pic:blipFill>
                        <pic:spPr>
                          <a:xfrm>
                            <a:off x="0" y="0"/>
                            <a:ext cx="2913184" cy="2926080"/>
                          </a:xfrm>
                          <a:prstGeom prst="rect">
                            <a:avLst/>
                          </a:prstGeom>
                        </pic:spPr>
                      </pic:pic>
                    </a:graphicData>
                  </a:graphic>
                </wp:inline>
              </w:drawing>
            </w:r>
          </w:p>
        </w:tc>
        <w:tc>
          <w:tcPr>
            <w:tcW w:w="4680" w:type="dxa"/>
          </w:tcPr>
          <w:p w14:paraId="4431F9C8" w14:textId="77777777" w:rsidR="00335DBC" w:rsidRDefault="00335DBC" w:rsidP="00335DBC">
            <w:pPr>
              <w:jc w:val="right"/>
              <w:cnfStyle w:val="100000000000" w:firstRow="1" w:lastRow="0" w:firstColumn="0" w:lastColumn="0" w:oddVBand="0" w:evenVBand="0" w:oddHBand="0" w:evenHBand="0" w:firstRowFirstColumn="0" w:firstRowLastColumn="0" w:lastRowFirstColumn="0" w:lastRowLastColumn="0"/>
            </w:pPr>
            <w:r w:rsidRPr="00D91223">
              <w:rPr>
                <w:noProof/>
                <w:lang w:eastAsia="zh-CN" w:bidi="ar-SA"/>
              </w:rPr>
              <w:drawing>
                <wp:inline distT="0" distB="0" distL="0" distR="0" wp14:anchorId="1D6B1424" wp14:editId="62DDAC2A">
                  <wp:extent cx="2913184" cy="2926080"/>
                  <wp:effectExtent l="0" t="0" r="1905" b="7620"/>
                  <wp:docPr id="6" name="Picture 5">
                    <a:extLst xmlns:a="http://schemas.openxmlformats.org/drawingml/2006/main">
                      <a:ext uri="{FF2B5EF4-FFF2-40B4-BE49-F238E27FC236}">
                        <a16:creationId xmlns:a16="http://schemas.microsoft.com/office/drawing/2014/main" id="{62698644-8D2E-48D4-B1D1-FAA70DB16E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62698644-8D2E-48D4-B1D1-FAA70DB16E00}"/>
                              </a:ext>
                            </a:extLst>
                          </pic:cNvPr>
                          <pic:cNvPicPr>
                            <a:picLocks noChangeAspect="1"/>
                          </pic:cNvPicPr>
                        </pic:nvPicPr>
                        <pic:blipFill rotWithShape="1">
                          <a:blip r:embed="rId11" cstate="print">
                            <a:extLst>
                              <a:ext uri="{28A0092B-C50C-407E-A947-70E740481C1C}">
                                <a14:useLocalDpi xmlns:a14="http://schemas.microsoft.com/office/drawing/2010/main" val="0"/>
                              </a:ext>
                            </a:extLst>
                          </a:blip>
                          <a:srcRect t="9912" r="1952" b="16055"/>
                          <a:stretch/>
                        </pic:blipFill>
                        <pic:spPr>
                          <a:xfrm>
                            <a:off x="0" y="0"/>
                            <a:ext cx="2913184" cy="2926080"/>
                          </a:xfrm>
                          <a:prstGeom prst="rect">
                            <a:avLst/>
                          </a:prstGeom>
                        </pic:spPr>
                      </pic:pic>
                    </a:graphicData>
                  </a:graphic>
                </wp:inline>
              </w:drawing>
            </w:r>
          </w:p>
        </w:tc>
      </w:tr>
      <w:tr w:rsidR="00335DBC" w14:paraId="0C4EEFB8" w14:textId="77777777" w:rsidTr="00544D95">
        <w:trPr>
          <w:cnfStyle w:val="000000100000" w:firstRow="0" w:lastRow="0" w:firstColumn="0" w:lastColumn="0" w:oddVBand="0" w:evenVBand="0" w:oddHBand="1" w:evenHBand="0" w:firstRowFirstColumn="0" w:firstRowLastColumn="0" w:lastRowFirstColumn="0" w:lastRowLastColumn="0"/>
          <w:trHeight w:val="4752"/>
        </w:trPr>
        <w:tc>
          <w:tcPr>
            <w:cnfStyle w:val="001000000000" w:firstRow="0" w:lastRow="0" w:firstColumn="1" w:lastColumn="0" w:oddVBand="0" w:evenVBand="0" w:oddHBand="0" w:evenHBand="0" w:firstRowFirstColumn="0" w:firstRowLastColumn="0" w:lastRowFirstColumn="0" w:lastRowLastColumn="0"/>
            <w:tcW w:w="4680" w:type="dxa"/>
          </w:tcPr>
          <w:p w14:paraId="09A13F32" w14:textId="77777777" w:rsidR="00335DBC" w:rsidRDefault="00335DBC" w:rsidP="00335DBC">
            <w:pPr>
              <w:jc w:val="right"/>
            </w:pPr>
            <w:r w:rsidRPr="00D91223">
              <w:rPr>
                <w:noProof/>
                <w:lang w:eastAsia="zh-CN" w:bidi="ar-SA"/>
              </w:rPr>
              <w:drawing>
                <wp:inline distT="0" distB="0" distL="0" distR="0" wp14:anchorId="35F2C48A" wp14:editId="3D6AB4B4">
                  <wp:extent cx="2913184" cy="2926081"/>
                  <wp:effectExtent l="0" t="0" r="1905" b="7620"/>
                  <wp:docPr id="2" name="Picture 11">
                    <a:extLst xmlns:a="http://schemas.openxmlformats.org/drawingml/2006/main">
                      <a:ext uri="{FF2B5EF4-FFF2-40B4-BE49-F238E27FC236}">
                        <a16:creationId xmlns:a16="http://schemas.microsoft.com/office/drawing/2014/main" id="{D8BC7D57-EFE5-4EF1-A441-D3D4A3E53AE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a:extLst>
                              <a:ext uri="{FF2B5EF4-FFF2-40B4-BE49-F238E27FC236}">
                                <a16:creationId xmlns:a16="http://schemas.microsoft.com/office/drawing/2014/main" id="{D8BC7D57-EFE5-4EF1-A441-D3D4A3E53AEE}"/>
                              </a:ext>
                            </a:extLst>
                          </pic:cNvPr>
                          <pic:cNvPicPr>
                            <a:picLocks noChangeAspect="1"/>
                          </pic:cNvPicPr>
                        </pic:nvPicPr>
                        <pic:blipFill rotWithShape="1">
                          <a:blip r:embed="rId12">
                            <a:extLst>
                              <a:ext uri="{28A0092B-C50C-407E-A947-70E740481C1C}">
                                <a14:useLocalDpi xmlns:a14="http://schemas.microsoft.com/office/drawing/2010/main" val="0"/>
                              </a:ext>
                            </a:extLst>
                          </a:blip>
                          <a:srcRect l="57519" t="28103" r="13266" b="52367"/>
                          <a:stretch/>
                        </pic:blipFill>
                        <pic:spPr>
                          <a:xfrm>
                            <a:off x="0" y="0"/>
                            <a:ext cx="2913184" cy="2926081"/>
                          </a:xfrm>
                          <a:prstGeom prst="rect">
                            <a:avLst/>
                          </a:prstGeom>
                        </pic:spPr>
                      </pic:pic>
                    </a:graphicData>
                  </a:graphic>
                </wp:inline>
              </w:drawing>
            </w:r>
          </w:p>
        </w:tc>
        <w:tc>
          <w:tcPr>
            <w:tcW w:w="4680" w:type="dxa"/>
          </w:tcPr>
          <w:p w14:paraId="0A0210E6" w14:textId="77777777" w:rsidR="00335DBC" w:rsidRDefault="00335DBC" w:rsidP="00335DBC">
            <w:pPr>
              <w:jc w:val="right"/>
              <w:cnfStyle w:val="000000100000" w:firstRow="0" w:lastRow="0" w:firstColumn="0" w:lastColumn="0" w:oddVBand="0" w:evenVBand="0" w:oddHBand="1" w:evenHBand="0" w:firstRowFirstColumn="0" w:firstRowLastColumn="0" w:lastRowFirstColumn="0" w:lastRowLastColumn="0"/>
            </w:pPr>
            <w:r w:rsidRPr="00D91223">
              <w:rPr>
                <w:noProof/>
                <w:lang w:eastAsia="zh-CN" w:bidi="ar-SA"/>
              </w:rPr>
              <w:drawing>
                <wp:inline distT="0" distB="0" distL="0" distR="0" wp14:anchorId="41A33DAC" wp14:editId="2E81D8FC">
                  <wp:extent cx="2913184" cy="2926080"/>
                  <wp:effectExtent l="0" t="0" r="1905" b="7620"/>
                  <wp:docPr id="3" name="Picture 9">
                    <a:extLst xmlns:a="http://schemas.openxmlformats.org/drawingml/2006/main">
                      <a:ext uri="{FF2B5EF4-FFF2-40B4-BE49-F238E27FC236}">
                        <a16:creationId xmlns:a16="http://schemas.microsoft.com/office/drawing/2014/main" id="{AC16BDEB-7424-4CE1-8250-47DBB71EFAE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a:extLst>
                              <a:ext uri="{FF2B5EF4-FFF2-40B4-BE49-F238E27FC236}">
                                <a16:creationId xmlns:a16="http://schemas.microsoft.com/office/drawing/2014/main" id="{AC16BDEB-7424-4CE1-8250-47DBB71EFAED}"/>
                              </a:ext>
                            </a:extLst>
                          </pic:cNvPr>
                          <pic:cNvPicPr>
                            <a:picLocks noChangeAspect="1"/>
                          </pic:cNvPicPr>
                        </pic:nvPicPr>
                        <pic:blipFill rotWithShape="1">
                          <a:blip r:embed="rId13" cstate="print">
                            <a:extLst>
                              <a:ext uri="{28A0092B-C50C-407E-A947-70E740481C1C}">
                                <a14:useLocalDpi xmlns:a14="http://schemas.microsoft.com/office/drawing/2010/main" val="0"/>
                              </a:ext>
                            </a:extLst>
                          </a:blip>
                          <a:srcRect l="9567" r="34501"/>
                          <a:stretch/>
                        </pic:blipFill>
                        <pic:spPr>
                          <a:xfrm>
                            <a:off x="0" y="0"/>
                            <a:ext cx="2913184" cy="2926080"/>
                          </a:xfrm>
                          <a:prstGeom prst="rect">
                            <a:avLst/>
                          </a:prstGeom>
                        </pic:spPr>
                      </pic:pic>
                    </a:graphicData>
                  </a:graphic>
                </wp:inline>
              </w:drawing>
            </w:r>
          </w:p>
        </w:tc>
      </w:tr>
    </w:tbl>
    <w:p w14:paraId="550FEA0D" w14:textId="77777777" w:rsidR="0028479E" w:rsidRDefault="0028479E" w:rsidP="00544D95">
      <w:pPr>
        <w:pStyle w:val="TOF"/>
      </w:pPr>
    </w:p>
    <w:p w14:paraId="1DA0A019" w14:textId="20EBA0AB" w:rsidR="0028479E" w:rsidRDefault="0028479E" w:rsidP="00544D95">
      <w:pPr>
        <w:pStyle w:val="TOF"/>
      </w:pPr>
      <w:bookmarkStart w:id="22" w:name="_Toc526197072"/>
      <w:r>
        <w:t xml:space="preserve">Figure 1.1. </w:t>
      </w:r>
      <w:r w:rsidR="00335DBC">
        <w:t>High algal abundance in Loma Alta Slough, Oceanside (photo from RW</w:t>
      </w:r>
      <w:r w:rsidR="001371F5">
        <w:t>Q</w:t>
      </w:r>
      <w:r w:rsidR="00335DBC">
        <w:t xml:space="preserve">CB Phosphorus TMDL), Pinto Lake, Watsonville (photo from CA waterboards), Eel River (photo by Keith Bouma-Gregson), and Klamath </w:t>
      </w:r>
      <w:r w:rsidR="007245F5">
        <w:t>D</w:t>
      </w:r>
      <w:r w:rsidR="00335DBC">
        <w:t>am (photo source unknown).</w:t>
      </w:r>
      <w:bookmarkEnd w:id="22"/>
    </w:p>
    <w:p w14:paraId="3E819D6D" w14:textId="77777777" w:rsidR="00544D95" w:rsidRDefault="00544D95" w:rsidP="00544D95">
      <w:pPr>
        <w:pStyle w:val="TOF"/>
      </w:pPr>
    </w:p>
    <w:p w14:paraId="21F3EBB1" w14:textId="0FF13749" w:rsidR="008A388C" w:rsidRDefault="008A388C" w:rsidP="007F6AEB">
      <w:pPr>
        <w:jc w:val="both"/>
      </w:pPr>
      <w:r w:rsidRPr="007F6AEB">
        <w:t>While nutrient pollution (including forms of nitrogen and phosphorus) is the leading cause of eutrophication, other factors can cause or significantly contribute to eutrophication. These factors include changes associated with conversion of natural landscapes to developed land uses, such as hydromodification, altered riparian and channel physical habitat, water temperature, and light availability, grazing pressure, etc. (Paerl et al. 2011). Though</w:t>
      </w:r>
      <w:r>
        <w:t xml:space="preserve"> in a risk prevent framework, scientific </w:t>
      </w:r>
      <w:r w:rsidRPr="007F6AEB">
        <w:t xml:space="preserve">literature has demonstrated the shortcomings of using ambient nutrient concentrations </w:t>
      </w:r>
      <w:r w:rsidRPr="00C030E9">
        <w:t>alone</w:t>
      </w:r>
      <w:r w:rsidRPr="007F6AEB">
        <w:t xml:space="preserve"> to protect against eutrophication, e.g.</w:t>
      </w:r>
      <w:r w:rsidR="0085071E">
        <w:t>,</w:t>
      </w:r>
      <w:r w:rsidRPr="007F6AEB">
        <w:t xml:space="preserve"> in streams (Welch et al. 1989, Fevold 1998, Chetelat et al. 1999, Heiskary and Markus 2001, Dodds et al. 2002) and estuaries (Cloern 2001, Dettman et al. 2001, Kennison et al. 2003). In some cases, surface water nutrient concentrations alone are generally not effective for assessing eutrophication and the subsequent impact on beneficial use because ambient concentrations are not temporally and spatially representative </w:t>
      </w:r>
      <w:r w:rsidR="00734D7D" w:rsidRPr="007F6AEB">
        <w:t>and</w:t>
      </w:r>
      <w:r w:rsidRPr="007F6AEB">
        <w:t xml:space="preserve"> do not reflect the biological processing that has already occurred. In addition, biological response to nutrients (e.g., algal productivity) depends on a variety of mitigating factors such as basin morphology and substrate characteristics, tidal energy, stratification, temperature, light availability, biological community structure, and seed populations. Thus, high concentrations are not entirely predictive of eutrophication</w:t>
      </w:r>
      <w:r w:rsidR="0085071E">
        <w:t>,</w:t>
      </w:r>
      <w:r w:rsidRPr="007F6AEB">
        <w:t xml:space="preserve"> and low concentrations do not necessarily indicate absence of eutrophication.</w:t>
      </w:r>
    </w:p>
    <w:p w14:paraId="25A5B7B9" w14:textId="550D45C8" w:rsidR="008A388C" w:rsidRDefault="008A388C" w:rsidP="007F6AEB">
      <w:pPr>
        <w:jc w:val="both"/>
      </w:pPr>
      <w:r>
        <w:t>The California State Water Resources Control Board (State Water Board) has an alternative approach to regulating eutrophication impacts of nutrient pollution through an existing “biostimulatory” water quality narrative objective (WQO). As used here, “biostimulatory” refers to substances such as nutrients (i.e.</w:t>
      </w:r>
      <w:r w:rsidR="0085071E">
        <w:t>,</w:t>
      </w:r>
      <w:r>
        <w:t xml:space="preserve"> nitrogen and phosphorus) or conditions, such as altered temperature, hydrology, etc. that can cause eutrophication (Figure 1.1).  All California Regional Water Quality Control Boards (Regional Water Boards) have a narrative biostimulatory objective, e.g.</w:t>
      </w:r>
      <w:r w:rsidR="0085071E">
        <w:t>,</w:t>
      </w:r>
      <w:r>
        <w:t xml:space="preserve"> “waters shall not contain biostimulatory substances in concentrations that promote aquatic growths to the extent that such growths cause nuisance or adversely affect beneficial uses</w:t>
      </w:r>
      <w:r w:rsidRPr="007F6AEB">
        <w:t>” (Central Coast Water Board Basin Plan 19</w:t>
      </w:r>
      <w:r w:rsidR="007F6AEB" w:rsidRPr="007F6AEB">
        <w:t>8</w:t>
      </w:r>
      <w:r w:rsidRPr="007F6AEB">
        <w:t>9); similar</w:t>
      </w:r>
      <w:r>
        <w:t xml:space="preserve"> narrative language is used throughout California Water Board Basin Plans. </w:t>
      </w:r>
      <w:r w:rsidR="00673315">
        <w:t>Fewer Regional Water Boards have narrative translators (Table 1.</w:t>
      </w:r>
      <w:r w:rsidR="00184564">
        <w:t>2</w:t>
      </w:r>
      <w:r w:rsidR="00673315">
        <w:t xml:space="preserve">). </w:t>
      </w:r>
      <w:r>
        <w:t xml:space="preserve">While narrative biostimulatory objective theoretically covers a wide range of environmental drivers, no consistent guidance exists to interpret this narrative objective to prevent eutrophication in specific waterbodies or to guide nutrient management actions across the state. </w:t>
      </w:r>
    </w:p>
    <w:p w14:paraId="6186068D" w14:textId="77777777" w:rsidR="008A388C" w:rsidRDefault="008A388C" w:rsidP="008A388C">
      <w:pPr>
        <w:jc w:val="both"/>
      </w:pPr>
      <w:r>
        <w:rPr>
          <w:noProof/>
          <w:lang w:eastAsia="zh-CN" w:bidi="ar-SA"/>
        </w:rPr>
        <w:drawing>
          <wp:inline distT="114300" distB="114300" distL="114300" distR="114300" wp14:anchorId="574C4B60" wp14:editId="158F0EAE">
            <wp:extent cx="5715000" cy="1803400"/>
            <wp:effectExtent l="0" t="0" r="0" b="6350"/>
            <wp:docPr id="10"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14"/>
                    <a:srcRect/>
                    <a:stretch>
                      <a:fillRect/>
                    </a:stretch>
                  </pic:blipFill>
                  <pic:spPr>
                    <a:xfrm>
                      <a:off x="0" y="0"/>
                      <a:ext cx="5715000" cy="1803400"/>
                    </a:xfrm>
                    <a:prstGeom prst="rect">
                      <a:avLst/>
                    </a:prstGeom>
                    <a:ln/>
                  </pic:spPr>
                </pic:pic>
              </a:graphicData>
            </a:graphic>
          </wp:inline>
        </w:drawing>
      </w:r>
    </w:p>
    <w:p w14:paraId="6DB640F6" w14:textId="7122A673" w:rsidR="00673315" w:rsidRDefault="008A388C" w:rsidP="000C0514">
      <w:pPr>
        <w:pStyle w:val="TOF"/>
        <w:rPr>
          <w:rFonts w:eastAsia="Arial"/>
        </w:rPr>
      </w:pPr>
      <w:bookmarkStart w:id="23" w:name="_Toc526197073"/>
      <w:r>
        <w:rPr>
          <w:rFonts w:eastAsia="Arial"/>
        </w:rPr>
        <w:t>Figure 1.</w:t>
      </w:r>
      <w:r w:rsidR="0028479E">
        <w:rPr>
          <w:rFonts w:eastAsia="Arial"/>
        </w:rPr>
        <w:t>2</w:t>
      </w:r>
      <w:r>
        <w:rPr>
          <w:rFonts w:eastAsia="Arial"/>
        </w:rPr>
        <w:t>. Conceptual representation of biostimulatory conditions and substances that result in eutrophication. Photo from Santa Margarita River in the San Diego Region.</w:t>
      </w:r>
      <w:bookmarkEnd w:id="23"/>
    </w:p>
    <w:p w14:paraId="03E7133C" w14:textId="50D95DBF" w:rsidR="008A388C" w:rsidRDefault="00673315" w:rsidP="00C030E9">
      <w:pPr>
        <w:pStyle w:val="TOT"/>
        <w:rPr>
          <w:rFonts w:eastAsia="Arial" w:cs="Arial"/>
          <w:i/>
          <w:color w:val="000000"/>
          <w:szCs w:val="20"/>
        </w:rPr>
      </w:pPr>
      <w:r>
        <w:rPr>
          <w:rFonts w:eastAsia="Arial"/>
        </w:rPr>
        <w:br w:type="page"/>
      </w:r>
      <w:bookmarkStart w:id="24" w:name="_Toc526428306"/>
      <w:bookmarkStart w:id="25" w:name="_Hlk525704772"/>
      <w:r w:rsidR="00734D7D">
        <w:rPr>
          <w:rFonts w:eastAsia="Arial"/>
        </w:rPr>
        <w:t>Table 1.</w:t>
      </w:r>
      <w:r w:rsidR="00C030E9">
        <w:rPr>
          <w:rFonts w:eastAsia="Arial"/>
        </w:rPr>
        <w:t>2</w:t>
      </w:r>
      <w:r w:rsidR="00734D7D">
        <w:rPr>
          <w:rFonts w:eastAsia="Arial"/>
        </w:rPr>
        <w:t xml:space="preserve">. </w:t>
      </w:r>
      <w:r w:rsidR="00734D7D" w:rsidRPr="00734D7D">
        <w:t xml:space="preserve">Biostimulatory </w:t>
      </w:r>
      <w:r w:rsidR="00734D7D">
        <w:t>o</w:t>
      </w:r>
      <w:r w:rsidR="00734D7D" w:rsidRPr="00734D7D">
        <w:t xml:space="preserve">bjective </w:t>
      </w:r>
      <w:r w:rsidR="00734D7D">
        <w:t>l</w:t>
      </w:r>
      <w:r w:rsidR="00734D7D" w:rsidRPr="00734D7D">
        <w:t xml:space="preserve">anguage, </w:t>
      </w:r>
      <w:r w:rsidR="00734D7D">
        <w:t>f</w:t>
      </w:r>
      <w:r w:rsidR="00734D7D" w:rsidRPr="00734D7D">
        <w:t xml:space="preserve">om </w:t>
      </w:r>
      <w:r w:rsidR="00734D7D">
        <w:t>e</w:t>
      </w:r>
      <w:r w:rsidR="00734D7D" w:rsidRPr="00734D7D">
        <w:t xml:space="preserve">ach </w:t>
      </w:r>
      <w:r w:rsidR="00734D7D">
        <w:t>Regional Water Board</w:t>
      </w:r>
      <w:r w:rsidR="00734D7D" w:rsidRPr="00734D7D">
        <w:t xml:space="preserve"> Basin </w:t>
      </w:r>
      <w:r w:rsidR="00734D7D">
        <w:t>Plans</w:t>
      </w:r>
      <w:bookmarkEnd w:id="24"/>
      <w:r w:rsidR="00734D7D" w:rsidRPr="00734D7D">
        <w:t xml:space="preserve"> </w:t>
      </w:r>
    </w:p>
    <w:tbl>
      <w:tblPr>
        <w:tblStyle w:val="TableGrid"/>
        <w:tblW w:w="0" w:type="auto"/>
        <w:tblLook w:val="04A0" w:firstRow="1" w:lastRow="0" w:firstColumn="1" w:lastColumn="0" w:noHBand="0" w:noVBand="1"/>
      </w:tblPr>
      <w:tblGrid>
        <w:gridCol w:w="9350"/>
      </w:tblGrid>
      <w:tr w:rsidR="00673315" w14:paraId="47EA29A2" w14:textId="77777777" w:rsidTr="00673315">
        <w:tc>
          <w:tcPr>
            <w:tcW w:w="9350" w:type="dxa"/>
          </w:tcPr>
          <w:p w14:paraId="108E8DFF" w14:textId="4DA20EFF" w:rsidR="00673315" w:rsidRPr="00734D7D" w:rsidRDefault="00673315" w:rsidP="00734D7D">
            <w:pPr>
              <w:spacing w:after="0"/>
              <w:jc w:val="both"/>
              <w:rPr>
                <w:sz w:val="20"/>
                <w:szCs w:val="20"/>
              </w:rPr>
            </w:pPr>
            <w:r w:rsidRPr="00734D7D">
              <w:rPr>
                <w:b/>
                <w:sz w:val="20"/>
                <w:szCs w:val="20"/>
              </w:rPr>
              <w:t>North Coast</w:t>
            </w:r>
            <w:r w:rsidR="00734D7D" w:rsidRPr="00734D7D">
              <w:rPr>
                <w:b/>
                <w:sz w:val="20"/>
                <w:szCs w:val="20"/>
              </w:rPr>
              <w:t>.</w:t>
            </w:r>
            <w:r w:rsidR="00734D7D" w:rsidRPr="00734D7D">
              <w:rPr>
                <w:sz w:val="20"/>
                <w:szCs w:val="20"/>
              </w:rPr>
              <w:t xml:space="preserve"> Waters shall not contain biostimulatory substances in concentrations that promote aquatic growths to the extent that such growths cause nuisance or adversely affect beneficial uses.</w:t>
            </w:r>
          </w:p>
        </w:tc>
      </w:tr>
      <w:tr w:rsidR="00673315" w14:paraId="66278421" w14:textId="77777777" w:rsidTr="00673315">
        <w:tc>
          <w:tcPr>
            <w:tcW w:w="9350" w:type="dxa"/>
          </w:tcPr>
          <w:p w14:paraId="7D4BF5F4" w14:textId="2E79BD05" w:rsidR="00673315" w:rsidRPr="00734D7D" w:rsidRDefault="00673315" w:rsidP="00734D7D">
            <w:pPr>
              <w:spacing w:after="0"/>
              <w:jc w:val="both"/>
              <w:rPr>
                <w:b/>
                <w:sz w:val="20"/>
                <w:szCs w:val="20"/>
              </w:rPr>
            </w:pPr>
            <w:r w:rsidRPr="00734D7D">
              <w:rPr>
                <w:b/>
                <w:sz w:val="20"/>
                <w:szCs w:val="20"/>
              </w:rPr>
              <w:t>San Francisco</w:t>
            </w:r>
            <w:r w:rsidR="00734D7D" w:rsidRPr="00734D7D">
              <w:rPr>
                <w:b/>
                <w:sz w:val="20"/>
                <w:szCs w:val="20"/>
              </w:rPr>
              <w:t xml:space="preserve">. </w:t>
            </w:r>
            <w:r w:rsidR="00734D7D" w:rsidRPr="00734D7D">
              <w:rPr>
                <w:sz w:val="20"/>
                <w:szCs w:val="20"/>
              </w:rPr>
              <w:t>Waters shall not contain biostimulatory substances in concentrations that promote aquatic growths to the extent that such growths cause nuisance or adversely affect beneficial uses. Changes in chlorophyll a and associated phytoplankton communities follow complex dynamics that are sometimes associated with a discharge of biostimulatory substances. Irregular and extreme levels of chlorophyll a or phytoplankton blooms may indicate exceedance of this objective and require investigation.</w:t>
            </w:r>
          </w:p>
        </w:tc>
      </w:tr>
      <w:tr w:rsidR="00673315" w14:paraId="7564D579" w14:textId="77777777" w:rsidTr="00673315">
        <w:tc>
          <w:tcPr>
            <w:tcW w:w="9350" w:type="dxa"/>
          </w:tcPr>
          <w:p w14:paraId="1504D4CF" w14:textId="56D02CDA" w:rsidR="00673315" w:rsidRPr="00734D7D" w:rsidRDefault="00673315" w:rsidP="00734D7D">
            <w:pPr>
              <w:spacing w:after="0"/>
              <w:jc w:val="both"/>
              <w:rPr>
                <w:sz w:val="20"/>
                <w:szCs w:val="20"/>
              </w:rPr>
            </w:pPr>
            <w:r w:rsidRPr="00734D7D">
              <w:rPr>
                <w:b/>
                <w:sz w:val="20"/>
                <w:szCs w:val="20"/>
              </w:rPr>
              <w:t>Central Coast</w:t>
            </w:r>
            <w:r w:rsidR="00734D7D" w:rsidRPr="00734D7D">
              <w:rPr>
                <w:b/>
                <w:sz w:val="20"/>
                <w:szCs w:val="20"/>
              </w:rPr>
              <w:t>.</w:t>
            </w:r>
            <w:r w:rsidR="00734D7D" w:rsidRPr="00734D7D">
              <w:rPr>
                <w:sz w:val="20"/>
                <w:szCs w:val="20"/>
              </w:rPr>
              <w:t xml:space="preserve"> Waters shall not contain biostimulatory substances in concentrations that promote aquatic growths to the extent that such growths cause nuisance or adversely affect beneficial uses.</w:t>
            </w:r>
          </w:p>
        </w:tc>
      </w:tr>
      <w:tr w:rsidR="00673315" w14:paraId="1C565398" w14:textId="77777777" w:rsidTr="00673315">
        <w:tc>
          <w:tcPr>
            <w:tcW w:w="9350" w:type="dxa"/>
          </w:tcPr>
          <w:p w14:paraId="385E7FB7" w14:textId="46974C99" w:rsidR="00673315" w:rsidRPr="00734D7D" w:rsidRDefault="00673315" w:rsidP="00734D7D">
            <w:pPr>
              <w:spacing w:after="0"/>
              <w:jc w:val="both"/>
              <w:rPr>
                <w:sz w:val="20"/>
                <w:szCs w:val="20"/>
              </w:rPr>
            </w:pPr>
            <w:r w:rsidRPr="00734D7D">
              <w:rPr>
                <w:b/>
                <w:sz w:val="20"/>
                <w:szCs w:val="20"/>
              </w:rPr>
              <w:t>Los Angeles</w:t>
            </w:r>
            <w:r w:rsidR="00734D7D" w:rsidRPr="00734D7D">
              <w:rPr>
                <w:b/>
                <w:sz w:val="20"/>
                <w:szCs w:val="20"/>
              </w:rPr>
              <w:t>.</w:t>
            </w:r>
            <w:r w:rsidR="00734D7D" w:rsidRPr="00734D7D">
              <w:rPr>
                <w:sz w:val="20"/>
                <w:szCs w:val="20"/>
              </w:rPr>
              <w:t xml:space="preserve"> Biostimulatory substances include excess nutrients (nitrogen</w:t>
            </w:r>
            <w:r w:rsidR="00874A8C">
              <w:rPr>
                <w:sz w:val="20"/>
                <w:szCs w:val="20"/>
              </w:rPr>
              <w:t xml:space="preserve"> and</w:t>
            </w:r>
            <w:r w:rsidR="00734D7D" w:rsidRPr="00734D7D">
              <w:rPr>
                <w:sz w:val="20"/>
                <w:szCs w:val="20"/>
              </w:rPr>
              <w:t xml:space="preserve"> phosphorus) and other compounds that stimulate aquatic growth. In addition to being aesthetical</w:t>
            </w:r>
            <w:r w:rsidR="00874A8C">
              <w:rPr>
                <w:sz w:val="20"/>
                <w:szCs w:val="20"/>
              </w:rPr>
              <w:t>ly</w:t>
            </w:r>
            <w:r w:rsidR="00734D7D" w:rsidRPr="00734D7D">
              <w:rPr>
                <w:sz w:val="20"/>
                <w:szCs w:val="20"/>
              </w:rPr>
              <w:t xml:space="preserve"> unpleasant (causing taste, odor, or color problems), this excessive growth can also cause other water quality problems. Waters shall not contain biostimulatory substances in concentrations that promote aquatic growth to the extent that such growth causes nuisance or adversely affects beneficial uses.</w:t>
            </w:r>
          </w:p>
        </w:tc>
      </w:tr>
      <w:tr w:rsidR="00673315" w14:paraId="23D8D3F7" w14:textId="77777777" w:rsidTr="00673315">
        <w:tc>
          <w:tcPr>
            <w:tcW w:w="9350" w:type="dxa"/>
          </w:tcPr>
          <w:p w14:paraId="36D1A5F7" w14:textId="7B0D495E" w:rsidR="00673315" w:rsidRPr="00734D7D" w:rsidRDefault="00673315" w:rsidP="00734D7D">
            <w:pPr>
              <w:spacing w:after="0"/>
              <w:jc w:val="both"/>
              <w:rPr>
                <w:sz w:val="20"/>
                <w:szCs w:val="20"/>
              </w:rPr>
            </w:pPr>
            <w:r w:rsidRPr="00734D7D">
              <w:rPr>
                <w:b/>
                <w:sz w:val="20"/>
                <w:szCs w:val="20"/>
              </w:rPr>
              <w:t>Central Valley</w:t>
            </w:r>
            <w:r w:rsidR="00734D7D" w:rsidRPr="00734D7D">
              <w:rPr>
                <w:sz w:val="20"/>
                <w:szCs w:val="20"/>
              </w:rPr>
              <w:t>. Water shall not contain biostimulatory substances which promote aquatic growths in concentrations that cause nuisance or adversely affect beneficial uses.</w:t>
            </w:r>
          </w:p>
        </w:tc>
      </w:tr>
      <w:tr w:rsidR="00673315" w14:paraId="084C4FA3" w14:textId="77777777" w:rsidTr="00673315">
        <w:tc>
          <w:tcPr>
            <w:tcW w:w="9350" w:type="dxa"/>
          </w:tcPr>
          <w:p w14:paraId="50487F66" w14:textId="6325D455" w:rsidR="00673315" w:rsidRPr="00734D7D" w:rsidRDefault="00673315" w:rsidP="00734D7D">
            <w:pPr>
              <w:spacing w:after="0"/>
              <w:jc w:val="both"/>
              <w:rPr>
                <w:sz w:val="20"/>
                <w:szCs w:val="20"/>
              </w:rPr>
            </w:pPr>
            <w:r w:rsidRPr="00734D7D">
              <w:rPr>
                <w:b/>
                <w:sz w:val="20"/>
                <w:szCs w:val="20"/>
              </w:rPr>
              <w:t>Lahontan</w:t>
            </w:r>
            <w:r w:rsidR="00734D7D" w:rsidRPr="00734D7D">
              <w:rPr>
                <w:b/>
                <w:sz w:val="20"/>
                <w:szCs w:val="20"/>
              </w:rPr>
              <w:t>.</w:t>
            </w:r>
            <w:r w:rsidR="00734D7D" w:rsidRPr="00734D7D">
              <w:rPr>
                <w:sz w:val="20"/>
                <w:szCs w:val="20"/>
              </w:rPr>
              <w:t xml:space="preserve"> Waters shall not contain biostimulatory substances in concentrations that promote aquatic growths to the extent that such growths cause nuisance or adversely affect the water for beneficial uses.</w:t>
            </w:r>
          </w:p>
        </w:tc>
      </w:tr>
      <w:tr w:rsidR="00673315" w14:paraId="47EE4476" w14:textId="77777777" w:rsidTr="00673315">
        <w:tc>
          <w:tcPr>
            <w:tcW w:w="9350" w:type="dxa"/>
          </w:tcPr>
          <w:p w14:paraId="7297E30C" w14:textId="0581631B" w:rsidR="00673315" w:rsidRPr="00734D7D" w:rsidRDefault="00673315" w:rsidP="00734D7D">
            <w:pPr>
              <w:spacing w:after="0"/>
              <w:rPr>
                <w:sz w:val="20"/>
                <w:szCs w:val="20"/>
              </w:rPr>
            </w:pPr>
            <w:r w:rsidRPr="00734D7D">
              <w:rPr>
                <w:b/>
                <w:sz w:val="20"/>
                <w:szCs w:val="20"/>
              </w:rPr>
              <w:t>Colorado</w:t>
            </w:r>
            <w:r w:rsidR="00734D7D" w:rsidRPr="00734D7D">
              <w:rPr>
                <w:sz w:val="20"/>
                <w:szCs w:val="20"/>
              </w:rPr>
              <w:t>. Waters shall not contain biostimulatory substances in concentrations that promote aquatic growths to the extent that such growths cause nuisance or adversely affect beneficial uses. Nitrate and phosphate limitations will be placed on industrial discharges to New and Alamo Rivers and irrigation basins on a case-by-case basis, taking into consideration the beneficial uses of these streams.</w:t>
            </w:r>
          </w:p>
        </w:tc>
      </w:tr>
      <w:tr w:rsidR="00673315" w14:paraId="0DD10E3A" w14:textId="77777777" w:rsidTr="00673315">
        <w:tc>
          <w:tcPr>
            <w:tcW w:w="9350" w:type="dxa"/>
          </w:tcPr>
          <w:p w14:paraId="28D85211" w14:textId="35627568" w:rsidR="00673315" w:rsidRPr="00734D7D" w:rsidRDefault="00673315" w:rsidP="00065700">
            <w:pPr>
              <w:spacing w:after="0"/>
              <w:jc w:val="both"/>
              <w:rPr>
                <w:sz w:val="20"/>
                <w:szCs w:val="20"/>
              </w:rPr>
            </w:pPr>
            <w:r w:rsidRPr="00734D7D">
              <w:rPr>
                <w:b/>
                <w:sz w:val="20"/>
                <w:szCs w:val="20"/>
              </w:rPr>
              <w:t>Santa Ana</w:t>
            </w:r>
            <w:r w:rsidR="00734D7D" w:rsidRPr="00734D7D">
              <w:rPr>
                <w:b/>
                <w:sz w:val="20"/>
                <w:szCs w:val="20"/>
              </w:rPr>
              <w:t>.</w:t>
            </w:r>
            <w:r w:rsidR="00734D7D" w:rsidRPr="00734D7D">
              <w:rPr>
                <w:sz w:val="20"/>
                <w:szCs w:val="20"/>
              </w:rPr>
              <w:t xml:space="preserve"> Excessive growth of algae and/or other aquatic plants can degrade water quality. Algal blooms sometimes occur naturally, but they are often the result of excess nutrients (i.e., nitrogen</w:t>
            </w:r>
            <w:r w:rsidR="00874A8C">
              <w:rPr>
                <w:sz w:val="20"/>
                <w:szCs w:val="20"/>
              </w:rPr>
              <w:t xml:space="preserve"> and</w:t>
            </w:r>
            <w:r w:rsidR="00874A8C" w:rsidRPr="00734D7D">
              <w:rPr>
                <w:sz w:val="20"/>
                <w:szCs w:val="20"/>
              </w:rPr>
              <w:t xml:space="preserve"> </w:t>
            </w:r>
            <w:r w:rsidR="00734D7D" w:rsidRPr="00734D7D">
              <w:rPr>
                <w:sz w:val="20"/>
                <w:szCs w:val="20"/>
              </w:rPr>
              <w:t>phosphorous) from waste discharges or nonpoint sources. These blooms can lead to problems with tastes, odors, color, and increased turbidity and can depress the dissolved oxygen content of the water, leading to fish kills. Floating algal scum and algal mats are also an aesthetically unpleasant nuisance. Waste discharges shall not contribute to excessive algal growth in inland surface receiving waters.</w:t>
            </w:r>
          </w:p>
        </w:tc>
      </w:tr>
      <w:tr w:rsidR="00673315" w14:paraId="7CA1003A" w14:textId="77777777" w:rsidTr="00673315">
        <w:tc>
          <w:tcPr>
            <w:tcW w:w="9350" w:type="dxa"/>
          </w:tcPr>
          <w:p w14:paraId="6475EE43" w14:textId="01A499E7" w:rsidR="00734D7D" w:rsidRPr="00734D7D" w:rsidRDefault="00673315" w:rsidP="00734D7D">
            <w:pPr>
              <w:spacing w:after="0"/>
              <w:jc w:val="both"/>
              <w:rPr>
                <w:sz w:val="20"/>
                <w:szCs w:val="20"/>
              </w:rPr>
            </w:pPr>
            <w:r w:rsidRPr="00734D7D">
              <w:rPr>
                <w:b/>
                <w:sz w:val="20"/>
                <w:szCs w:val="20"/>
              </w:rPr>
              <w:t>San Diego</w:t>
            </w:r>
            <w:r w:rsidR="00734D7D" w:rsidRPr="00734D7D">
              <w:rPr>
                <w:sz w:val="20"/>
                <w:szCs w:val="20"/>
              </w:rPr>
              <w:t>. Excessive growth of algae and/or other aquatic plants can degrade water quality. Algal blooms sometimes occur naturally; however, they are often the result of waste discharges or nonpoint source pollutants. Algal blooms depress the dissolved oxygen content of water and can result in fish kills. Algal blooms can also lead to problems with taste, odors, color, and increased turbidity. Floating algal scum and algal mats are also an aesthetically unpleasant nuisance. This general condition is known as eutrophication.</w:t>
            </w:r>
            <w:r w:rsidR="00734D7D">
              <w:rPr>
                <w:sz w:val="20"/>
                <w:szCs w:val="20"/>
              </w:rPr>
              <w:t xml:space="preserve"> </w:t>
            </w:r>
            <w:r w:rsidR="00734D7D" w:rsidRPr="00734D7D">
              <w:rPr>
                <w:sz w:val="20"/>
                <w:szCs w:val="20"/>
              </w:rPr>
              <w:t>Concentrations of nitrogen and phosphorus, by</w:t>
            </w:r>
            <w:r w:rsidR="00734D7D">
              <w:rPr>
                <w:sz w:val="20"/>
                <w:szCs w:val="20"/>
              </w:rPr>
              <w:t xml:space="preserve"> </w:t>
            </w:r>
            <w:r w:rsidR="00734D7D" w:rsidRPr="00734D7D">
              <w:rPr>
                <w:sz w:val="20"/>
                <w:szCs w:val="20"/>
              </w:rPr>
              <w:t>themselves or in combination with other</w:t>
            </w:r>
            <w:r w:rsidR="00734D7D">
              <w:rPr>
                <w:sz w:val="20"/>
                <w:szCs w:val="20"/>
              </w:rPr>
              <w:t xml:space="preserve"> </w:t>
            </w:r>
            <w:r w:rsidR="00734D7D" w:rsidRPr="00734D7D">
              <w:rPr>
                <w:sz w:val="20"/>
                <w:szCs w:val="20"/>
              </w:rPr>
              <w:t>nutrients, shall be maintained at levels below</w:t>
            </w:r>
          </w:p>
          <w:p w14:paraId="4075A753" w14:textId="69BC0988" w:rsidR="00673315" w:rsidRPr="00734D7D" w:rsidRDefault="00734D7D" w:rsidP="00734D7D">
            <w:pPr>
              <w:spacing w:after="0"/>
              <w:jc w:val="both"/>
              <w:rPr>
                <w:sz w:val="20"/>
                <w:szCs w:val="20"/>
              </w:rPr>
            </w:pPr>
            <w:r w:rsidRPr="00734D7D">
              <w:rPr>
                <w:sz w:val="20"/>
                <w:szCs w:val="20"/>
              </w:rPr>
              <w:t>those which stimulate algae and emergent plant</w:t>
            </w:r>
            <w:r>
              <w:rPr>
                <w:sz w:val="20"/>
                <w:szCs w:val="20"/>
              </w:rPr>
              <w:t xml:space="preserve"> </w:t>
            </w:r>
            <w:r w:rsidRPr="00734D7D">
              <w:rPr>
                <w:sz w:val="20"/>
                <w:szCs w:val="20"/>
              </w:rPr>
              <w:t>growth. Threshold total phosphorus (P)</w:t>
            </w:r>
            <w:r>
              <w:rPr>
                <w:sz w:val="20"/>
                <w:szCs w:val="20"/>
              </w:rPr>
              <w:t xml:space="preserve"> </w:t>
            </w:r>
            <w:r w:rsidRPr="00734D7D">
              <w:rPr>
                <w:sz w:val="20"/>
                <w:szCs w:val="20"/>
              </w:rPr>
              <w:t>concentrations shall not exceed</w:t>
            </w:r>
            <w:r>
              <w:rPr>
                <w:sz w:val="20"/>
                <w:szCs w:val="20"/>
              </w:rPr>
              <w:t xml:space="preserve"> </w:t>
            </w:r>
            <w:r w:rsidRPr="00734D7D">
              <w:rPr>
                <w:sz w:val="20"/>
                <w:szCs w:val="20"/>
              </w:rPr>
              <w:t>0.05 milligrams per liter (mg/</w:t>
            </w:r>
            <w:r w:rsidR="00874A8C">
              <w:rPr>
                <w:sz w:val="20"/>
                <w:szCs w:val="20"/>
              </w:rPr>
              <w:t>L</w:t>
            </w:r>
            <w:r w:rsidRPr="00734D7D">
              <w:rPr>
                <w:sz w:val="20"/>
                <w:szCs w:val="20"/>
              </w:rPr>
              <w:t>) in any stream at</w:t>
            </w:r>
            <w:r>
              <w:rPr>
                <w:sz w:val="20"/>
                <w:szCs w:val="20"/>
              </w:rPr>
              <w:t xml:space="preserve"> </w:t>
            </w:r>
            <w:r w:rsidRPr="00734D7D">
              <w:rPr>
                <w:sz w:val="20"/>
                <w:szCs w:val="20"/>
              </w:rPr>
              <w:t>the point where it enters any standing body of</w:t>
            </w:r>
            <w:r>
              <w:rPr>
                <w:sz w:val="20"/>
                <w:szCs w:val="20"/>
              </w:rPr>
              <w:t xml:space="preserve"> </w:t>
            </w:r>
            <w:r w:rsidRPr="00734D7D">
              <w:rPr>
                <w:sz w:val="20"/>
                <w:szCs w:val="20"/>
              </w:rPr>
              <w:t>water, nor 0.025 mg/</w:t>
            </w:r>
            <w:r w:rsidR="00874A8C">
              <w:rPr>
                <w:sz w:val="20"/>
                <w:szCs w:val="20"/>
              </w:rPr>
              <w:t>L</w:t>
            </w:r>
            <w:r w:rsidR="00874A8C" w:rsidRPr="00734D7D">
              <w:rPr>
                <w:sz w:val="20"/>
                <w:szCs w:val="20"/>
              </w:rPr>
              <w:t xml:space="preserve"> </w:t>
            </w:r>
            <w:r w:rsidRPr="00734D7D">
              <w:rPr>
                <w:sz w:val="20"/>
                <w:szCs w:val="20"/>
              </w:rPr>
              <w:t>in any standing body of</w:t>
            </w:r>
            <w:r>
              <w:rPr>
                <w:sz w:val="20"/>
                <w:szCs w:val="20"/>
              </w:rPr>
              <w:t xml:space="preserve"> </w:t>
            </w:r>
            <w:r w:rsidRPr="00734D7D">
              <w:rPr>
                <w:sz w:val="20"/>
                <w:szCs w:val="20"/>
              </w:rPr>
              <w:t>water. A desired goal to prevent plant</w:t>
            </w:r>
            <w:r>
              <w:rPr>
                <w:sz w:val="20"/>
                <w:szCs w:val="20"/>
              </w:rPr>
              <w:t xml:space="preserve"> </w:t>
            </w:r>
            <w:r w:rsidRPr="00734D7D">
              <w:rPr>
                <w:sz w:val="20"/>
                <w:szCs w:val="20"/>
              </w:rPr>
              <w:t>nuisance in streams and other flowing waters</w:t>
            </w:r>
            <w:r>
              <w:rPr>
                <w:sz w:val="20"/>
                <w:szCs w:val="20"/>
              </w:rPr>
              <w:t xml:space="preserve"> </w:t>
            </w:r>
            <w:r w:rsidRPr="00734D7D">
              <w:rPr>
                <w:sz w:val="20"/>
                <w:szCs w:val="20"/>
              </w:rPr>
              <w:t>appears to be 0.1 mg/</w:t>
            </w:r>
            <w:r w:rsidR="00874A8C">
              <w:rPr>
                <w:sz w:val="20"/>
                <w:szCs w:val="20"/>
              </w:rPr>
              <w:t>L</w:t>
            </w:r>
            <w:r w:rsidR="00874A8C" w:rsidRPr="00734D7D">
              <w:rPr>
                <w:sz w:val="20"/>
                <w:szCs w:val="20"/>
              </w:rPr>
              <w:t xml:space="preserve"> </w:t>
            </w:r>
            <w:r w:rsidRPr="00734D7D">
              <w:rPr>
                <w:sz w:val="20"/>
                <w:szCs w:val="20"/>
              </w:rPr>
              <w:t>total P. These values are</w:t>
            </w:r>
            <w:r>
              <w:rPr>
                <w:sz w:val="20"/>
                <w:szCs w:val="20"/>
              </w:rPr>
              <w:t xml:space="preserve"> </w:t>
            </w:r>
            <w:r w:rsidRPr="00734D7D">
              <w:rPr>
                <w:sz w:val="20"/>
                <w:szCs w:val="20"/>
              </w:rPr>
              <w:t>not to be exceeded more than 10% of the time</w:t>
            </w:r>
            <w:r w:rsidR="00874A8C">
              <w:rPr>
                <w:sz w:val="20"/>
                <w:szCs w:val="20"/>
              </w:rPr>
              <w:t xml:space="preserve"> </w:t>
            </w:r>
            <w:r w:rsidRPr="00734D7D">
              <w:rPr>
                <w:sz w:val="20"/>
                <w:szCs w:val="20"/>
              </w:rPr>
              <w:t>unless studies of the specific water body in</w:t>
            </w:r>
            <w:r>
              <w:rPr>
                <w:sz w:val="20"/>
                <w:szCs w:val="20"/>
              </w:rPr>
              <w:t xml:space="preserve"> </w:t>
            </w:r>
            <w:r w:rsidRPr="00734D7D">
              <w:rPr>
                <w:sz w:val="20"/>
                <w:szCs w:val="20"/>
              </w:rPr>
              <w:t>question clearly show that water quality</w:t>
            </w:r>
            <w:r>
              <w:rPr>
                <w:sz w:val="20"/>
                <w:szCs w:val="20"/>
              </w:rPr>
              <w:t xml:space="preserve"> </w:t>
            </w:r>
            <w:r w:rsidRPr="00734D7D">
              <w:rPr>
                <w:sz w:val="20"/>
                <w:szCs w:val="20"/>
              </w:rPr>
              <w:t>objective changes are permissible, and changes</w:t>
            </w:r>
            <w:r>
              <w:rPr>
                <w:sz w:val="20"/>
                <w:szCs w:val="20"/>
              </w:rPr>
              <w:t xml:space="preserve"> </w:t>
            </w:r>
            <w:r w:rsidRPr="00734D7D">
              <w:rPr>
                <w:sz w:val="20"/>
                <w:szCs w:val="20"/>
              </w:rPr>
              <w:t>are approved by the Regional Board. Analogous</w:t>
            </w:r>
            <w:r>
              <w:rPr>
                <w:sz w:val="20"/>
                <w:szCs w:val="20"/>
              </w:rPr>
              <w:t xml:space="preserve"> </w:t>
            </w:r>
            <w:r w:rsidRPr="00734D7D">
              <w:rPr>
                <w:sz w:val="20"/>
                <w:szCs w:val="20"/>
              </w:rPr>
              <w:t>threshold values have not been set for nitrogencompounds; however, natural ratios of nitrogen</w:t>
            </w:r>
            <w:r>
              <w:rPr>
                <w:sz w:val="20"/>
                <w:szCs w:val="20"/>
              </w:rPr>
              <w:t xml:space="preserve"> </w:t>
            </w:r>
            <w:r w:rsidRPr="00734D7D">
              <w:rPr>
                <w:sz w:val="20"/>
                <w:szCs w:val="20"/>
              </w:rPr>
              <w:t>to phosphorus are to be determined by</w:t>
            </w:r>
            <w:r>
              <w:rPr>
                <w:sz w:val="20"/>
                <w:szCs w:val="20"/>
              </w:rPr>
              <w:t xml:space="preserve"> </w:t>
            </w:r>
            <w:r w:rsidRPr="00734D7D">
              <w:rPr>
                <w:sz w:val="20"/>
                <w:szCs w:val="20"/>
              </w:rPr>
              <w:t>surveillance and monitoring and upheld. If data</w:t>
            </w:r>
            <w:r>
              <w:rPr>
                <w:sz w:val="20"/>
                <w:szCs w:val="20"/>
              </w:rPr>
              <w:t xml:space="preserve"> </w:t>
            </w:r>
            <w:r w:rsidRPr="00734D7D">
              <w:rPr>
                <w:sz w:val="20"/>
                <w:szCs w:val="20"/>
              </w:rPr>
              <w:t>are lacking, a ratio of N:P = 10:1 , on a weight</w:t>
            </w:r>
            <w:r w:rsidR="00874A8C">
              <w:rPr>
                <w:sz w:val="20"/>
                <w:szCs w:val="20"/>
              </w:rPr>
              <w:t>-</w:t>
            </w:r>
            <w:r w:rsidRPr="00734D7D">
              <w:rPr>
                <w:sz w:val="20"/>
                <w:szCs w:val="20"/>
              </w:rPr>
              <w:t>to</w:t>
            </w:r>
            <w:r w:rsidR="00874A8C">
              <w:rPr>
                <w:sz w:val="20"/>
                <w:szCs w:val="20"/>
              </w:rPr>
              <w:t>-</w:t>
            </w:r>
            <w:r w:rsidRPr="00734D7D">
              <w:rPr>
                <w:sz w:val="20"/>
                <w:szCs w:val="20"/>
              </w:rPr>
              <w:t>weight basis shall be used.</w:t>
            </w:r>
          </w:p>
        </w:tc>
      </w:tr>
    </w:tbl>
    <w:p w14:paraId="5BE79C4C" w14:textId="77777777" w:rsidR="00673315" w:rsidRDefault="00673315" w:rsidP="008A388C">
      <w:pPr>
        <w:ind w:firstLine="720"/>
        <w:jc w:val="both"/>
      </w:pPr>
    </w:p>
    <w:bookmarkEnd w:id="25"/>
    <w:p w14:paraId="52D98DA2" w14:textId="55332F1B" w:rsidR="008A388C" w:rsidRDefault="008A388C" w:rsidP="008A388C">
      <w:pPr>
        <w:ind w:firstLine="720"/>
        <w:jc w:val="both"/>
      </w:pPr>
      <w:r>
        <w:t xml:space="preserve">To address this issue, the State Water Board is proposing to adopt a statewide water quality objective for Biostimulatory Substances and a program to implement it as an amendment to the Water Quality Control Plan for Inland Surface Water, Enclosed Bays and Estuaries of California </w:t>
      </w:r>
      <w:r w:rsidRPr="001371F5">
        <w:t xml:space="preserve">(ISWEBE Plan). </w:t>
      </w:r>
      <w:r w:rsidRPr="007F6AEB">
        <w:t>Staff drafted a set of guiding principles for development of biostimulatory objectives (Table 1.</w:t>
      </w:r>
      <w:r w:rsidR="00184564">
        <w:t>3</w:t>
      </w:r>
      <w:r w:rsidRPr="007F6AEB">
        <w:t>., SWRCB 2014)</w:t>
      </w:r>
      <w:r w:rsidRPr="001371F5">
        <w:t xml:space="preserve"> that were consistent with the 2010 workplan for development of biological objectives (</w:t>
      </w:r>
      <w:hyperlink r:id="rId15" w:history="1">
        <w:r w:rsidRPr="001371F5">
          <w:rPr>
            <w:rStyle w:val="Hyperlink"/>
          </w:rPr>
          <w:t>www.waterboards.ca.gov/plans_policies/docs/biological_objective/draft_bio_objs_workplan.pdf</w:t>
        </w:r>
      </w:hyperlink>
      <w:r w:rsidRPr="001371F5">
        <w:t>).</w:t>
      </w:r>
      <w:r>
        <w:t xml:space="preserve"> Because California is a large state and has a tremendous number and diversity of waterbodies, staff propose that numeric biostimulatory guidance will be adopted in three phases.  Phase I will establish the </w:t>
      </w:r>
      <w:r w:rsidRPr="00C030E9">
        <w:t>consistent conceptual foundation and approach supporting the interpretation of the narrative biostimulatory objective, applicable to all inland, enclosed bays, and estuaries waterbodies</w:t>
      </w:r>
      <w:r>
        <w:t xml:space="preserve">, and establish numeric guidance for wadeable streams.  Phase II and III will establish numeric guidance for lakes and estuaries, respectively. As a part of this amendment, the State Water Board intends to establish an Implementation Plan to protect </w:t>
      </w:r>
      <w:r w:rsidR="002A0DC8">
        <w:t>biointegrity</w:t>
      </w:r>
      <w:r>
        <w:t>, which provides the conceptual basis for the protection of aquatic life–related beneficial uses and numeric guidance specifically for wadeable streams.</w:t>
      </w:r>
    </w:p>
    <w:p w14:paraId="7F1B5976" w14:textId="64A92020" w:rsidR="008A388C" w:rsidRDefault="008A388C" w:rsidP="008A388C">
      <w:pPr>
        <w:pStyle w:val="TOT"/>
        <w:rPr>
          <w:rFonts w:eastAsia="Arial"/>
        </w:rPr>
      </w:pPr>
      <w:bookmarkStart w:id="26" w:name="_2s8eyo1" w:colFirst="0" w:colLast="0"/>
      <w:bookmarkStart w:id="27" w:name="_Toc526428307"/>
      <w:bookmarkEnd w:id="26"/>
      <w:r>
        <w:rPr>
          <w:rFonts w:eastAsia="Arial"/>
        </w:rPr>
        <w:t>Table 1.</w:t>
      </w:r>
      <w:r w:rsidR="00184564">
        <w:rPr>
          <w:rFonts w:eastAsia="Arial"/>
        </w:rPr>
        <w:t>3</w:t>
      </w:r>
      <w:r>
        <w:rPr>
          <w:rFonts w:eastAsia="Arial"/>
        </w:rPr>
        <w:t xml:space="preserve">. The State Water Board established five guiding principles which frame the regulatory approach for the Biostimulatory-Biointegrity Project and provide important context for the science required to support policy options under consideration </w:t>
      </w:r>
      <w:r w:rsidRPr="007E68A1">
        <w:rPr>
          <w:rFonts w:eastAsia="Arial"/>
        </w:rPr>
        <w:t xml:space="preserve">(State Water Board Biointegrity Work Plan 2010; State Water Board Nutrient Control Plan 2014; </w:t>
      </w:r>
      <w:bookmarkStart w:id="28" w:name="_Hlk526133644"/>
      <w:r w:rsidRPr="007E68A1">
        <w:rPr>
          <w:rFonts w:eastAsia="Arial"/>
        </w:rPr>
        <w:t>State Water Board Focus Group Outreach Document 2016</w:t>
      </w:r>
      <w:r w:rsidR="007E68A1" w:rsidRPr="007E68A1">
        <w:rPr>
          <w:rFonts w:eastAsia="Arial"/>
        </w:rPr>
        <w:t>; www.waterboards.ca.gov/water_issues/programs)</w:t>
      </w:r>
      <w:r w:rsidRPr="007E68A1">
        <w:rPr>
          <w:rFonts w:eastAsia="Arial"/>
        </w:rPr>
        <w:t>.</w:t>
      </w:r>
      <w:bookmarkEnd w:id="27"/>
      <w:r>
        <w:rPr>
          <w:rFonts w:eastAsia="Arial"/>
        </w:rPr>
        <w:t xml:space="preserve"> </w:t>
      </w:r>
    </w:p>
    <w:tbl>
      <w:tblPr>
        <w:tblW w:w="946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115" w:type="dxa"/>
          <w:right w:w="115" w:type="dxa"/>
        </w:tblCellMar>
        <w:tblLook w:val="0400" w:firstRow="0" w:lastRow="0" w:firstColumn="0" w:lastColumn="0" w:noHBand="0" w:noVBand="1"/>
      </w:tblPr>
      <w:tblGrid>
        <w:gridCol w:w="9468"/>
      </w:tblGrid>
      <w:tr w:rsidR="008A388C" w14:paraId="68C1683F" w14:textId="77777777" w:rsidTr="00797664">
        <w:tc>
          <w:tcPr>
            <w:tcW w:w="9468" w:type="dxa"/>
            <w:shd w:val="clear" w:color="auto" w:fill="auto"/>
          </w:tcPr>
          <w:bookmarkEnd w:id="28"/>
          <w:p w14:paraId="57440D5C" w14:textId="77777777" w:rsidR="008A388C" w:rsidRDefault="008A388C" w:rsidP="00797664">
            <w:pPr>
              <w:spacing w:after="0"/>
              <w:jc w:val="both"/>
              <w:rPr>
                <w:rFonts w:ascii="Arial" w:eastAsia="Arial" w:hAnsi="Arial" w:cs="Arial"/>
                <w:sz w:val="20"/>
                <w:szCs w:val="20"/>
              </w:rPr>
            </w:pPr>
            <w:r>
              <w:rPr>
                <w:rFonts w:ascii="Arial" w:eastAsia="Arial" w:hAnsi="Arial" w:cs="Arial"/>
                <w:b/>
                <w:sz w:val="20"/>
                <w:szCs w:val="20"/>
              </w:rPr>
              <w:t>The State should develop objectives that address nutrient pollution and biostimulatory conditions (Figure 1.1).</w:t>
            </w:r>
            <w:r>
              <w:rPr>
                <w:rFonts w:ascii="Arial" w:eastAsia="Arial" w:hAnsi="Arial" w:cs="Arial"/>
                <w:sz w:val="20"/>
                <w:szCs w:val="20"/>
              </w:rPr>
              <w:t xml:space="preserve"> Environmental variables such as hydrology, etc. can modify ecosystem response to nutrients. Anthropogenic activities that alter these environmental variables can be biostimulatory, even under low-nutrient conditions. Therefore, the Biostimulatory Substances Amendment should address both nutrient pollution and biostimulatory conditions.</w:t>
            </w:r>
          </w:p>
        </w:tc>
      </w:tr>
      <w:tr w:rsidR="008A388C" w14:paraId="67C2A2FC" w14:textId="77777777" w:rsidTr="00797664">
        <w:tc>
          <w:tcPr>
            <w:tcW w:w="9468" w:type="dxa"/>
            <w:shd w:val="clear" w:color="auto" w:fill="auto"/>
          </w:tcPr>
          <w:p w14:paraId="5EC93351" w14:textId="77777777" w:rsidR="008A388C" w:rsidRDefault="008A388C" w:rsidP="00797664">
            <w:pPr>
              <w:spacing w:after="0"/>
              <w:jc w:val="both"/>
              <w:rPr>
                <w:rFonts w:ascii="Arial" w:eastAsia="Arial" w:hAnsi="Arial" w:cs="Arial"/>
                <w:sz w:val="20"/>
                <w:szCs w:val="20"/>
              </w:rPr>
            </w:pPr>
            <w:r>
              <w:rPr>
                <w:rFonts w:ascii="Arial" w:eastAsia="Arial" w:hAnsi="Arial" w:cs="Arial"/>
                <w:b/>
                <w:sz w:val="20"/>
                <w:szCs w:val="20"/>
              </w:rPr>
              <w:t>The State should develop narrative nutrient objectives with numeric guidance.</w:t>
            </w:r>
            <w:r>
              <w:rPr>
                <w:rFonts w:ascii="Arial" w:eastAsia="Arial" w:hAnsi="Arial" w:cs="Arial"/>
                <w:sz w:val="20"/>
                <w:szCs w:val="20"/>
              </w:rPr>
              <w:t xml:space="preserve"> The Biostimulatory Substances Amendment could include: a statewide numeric objective or a statewide narrative objective (with a numeric translator), and various regulatory control options for point and nonpoint sources including a watershed management approach. The numeric objective or numeric guidance is herein referred as numeric guidance for simplicity.</w:t>
            </w:r>
          </w:p>
        </w:tc>
      </w:tr>
      <w:tr w:rsidR="008A388C" w14:paraId="08B63171" w14:textId="77777777" w:rsidTr="00797664">
        <w:tc>
          <w:tcPr>
            <w:tcW w:w="9468" w:type="dxa"/>
            <w:shd w:val="clear" w:color="auto" w:fill="auto"/>
          </w:tcPr>
          <w:p w14:paraId="30F3815A" w14:textId="77777777" w:rsidR="008A388C" w:rsidRDefault="008A388C" w:rsidP="00797664">
            <w:pPr>
              <w:spacing w:after="0"/>
              <w:rPr>
                <w:rFonts w:ascii="Arial" w:eastAsia="Arial" w:hAnsi="Arial" w:cs="Arial"/>
                <w:sz w:val="20"/>
                <w:szCs w:val="20"/>
              </w:rPr>
            </w:pPr>
            <w:r>
              <w:rPr>
                <w:rFonts w:ascii="Arial" w:eastAsia="Arial" w:hAnsi="Arial" w:cs="Arial"/>
                <w:b/>
                <w:sz w:val="20"/>
                <w:szCs w:val="20"/>
              </w:rPr>
              <w:t>Numeric guidance should have a strong linkage to beneficial use</w:t>
            </w:r>
            <w:r>
              <w:rPr>
                <w:rFonts w:ascii="Arial" w:eastAsia="Arial" w:hAnsi="Arial" w:cs="Arial"/>
                <w:sz w:val="20"/>
                <w:szCs w:val="20"/>
              </w:rPr>
              <w:t>. Eutrophication results in adverse ecological responses in a water body. These ecological responses are directly linked to beneficial uses. The State Water Board is considering the option that the Biostimulatory Substances Amendment may consist of a set of numeric endpoints for these ecological response indicators and numeric targets for nutrients.</w:t>
            </w:r>
          </w:p>
        </w:tc>
      </w:tr>
      <w:tr w:rsidR="008A388C" w14:paraId="41729380" w14:textId="77777777" w:rsidTr="00797664">
        <w:tc>
          <w:tcPr>
            <w:tcW w:w="9468" w:type="dxa"/>
            <w:shd w:val="clear" w:color="auto" w:fill="auto"/>
          </w:tcPr>
          <w:p w14:paraId="50936410" w14:textId="77777777" w:rsidR="008A388C" w:rsidRDefault="008A388C" w:rsidP="00797664">
            <w:pPr>
              <w:spacing w:after="0"/>
              <w:jc w:val="both"/>
              <w:rPr>
                <w:rFonts w:ascii="Arial" w:eastAsia="Arial" w:hAnsi="Arial" w:cs="Arial"/>
                <w:b/>
                <w:sz w:val="20"/>
                <w:szCs w:val="20"/>
              </w:rPr>
            </w:pPr>
            <w:r>
              <w:rPr>
                <w:rFonts w:ascii="Arial" w:eastAsia="Arial" w:hAnsi="Arial" w:cs="Arial"/>
                <w:b/>
                <w:sz w:val="20"/>
                <w:szCs w:val="20"/>
              </w:rPr>
              <w:t xml:space="preserve">The State should have numeric guidance for all water body types. </w:t>
            </w:r>
            <w:r>
              <w:rPr>
                <w:rFonts w:ascii="Arial" w:eastAsia="Arial" w:hAnsi="Arial" w:cs="Arial"/>
                <w:sz w:val="20"/>
                <w:szCs w:val="20"/>
              </w:rPr>
              <w:t>The State Water Board intends to develop numeric guidance that translates the narrative objective for all water body types.</w:t>
            </w:r>
          </w:p>
        </w:tc>
      </w:tr>
      <w:tr w:rsidR="008A388C" w14:paraId="5FD8F236" w14:textId="77777777" w:rsidTr="00797664">
        <w:tc>
          <w:tcPr>
            <w:tcW w:w="9468" w:type="dxa"/>
            <w:shd w:val="clear" w:color="auto" w:fill="auto"/>
          </w:tcPr>
          <w:p w14:paraId="63917F99" w14:textId="77777777" w:rsidR="008A388C" w:rsidRDefault="008A388C" w:rsidP="00797664">
            <w:pPr>
              <w:spacing w:after="0"/>
              <w:jc w:val="both"/>
              <w:rPr>
                <w:rFonts w:ascii="Arial" w:eastAsia="Arial" w:hAnsi="Arial" w:cs="Arial"/>
                <w:sz w:val="20"/>
                <w:szCs w:val="20"/>
              </w:rPr>
            </w:pPr>
            <w:r>
              <w:rPr>
                <w:rFonts w:ascii="Arial" w:eastAsia="Arial" w:hAnsi="Arial" w:cs="Arial"/>
                <w:b/>
                <w:sz w:val="20"/>
                <w:szCs w:val="20"/>
              </w:rPr>
              <w:t>There should be statewide consistency with eco–regional flexibility</w:t>
            </w:r>
            <w:r>
              <w:rPr>
                <w:rFonts w:ascii="Arial" w:eastAsia="Arial" w:hAnsi="Arial" w:cs="Arial"/>
                <w:sz w:val="20"/>
                <w:szCs w:val="20"/>
              </w:rPr>
              <w:t xml:space="preserve">. Statewide consistency is important for equity among stakeholders. However, the State has many different ecosystems, each of which has varying biological characteristics. Therefore, a defensible statewide program must accommodate the unique qualities of each ecoregion. </w:t>
            </w:r>
          </w:p>
        </w:tc>
      </w:tr>
    </w:tbl>
    <w:p w14:paraId="20D0F575" w14:textId="77777777" w:rsidR="008A388C" w:rsidRDefault="008A388C" w:rsidP="008A388C">
      <w:pPr>
        <w:jc w:val="both"/>
      </w:pPr>
    </w:p>
    <w:p w14:paraId="0B655C4E" w14:textId="0CEF7F1C" w:rsidR="008A388C" w:rsidRDefault="008A388C" w:rsidP="007E68A1">
      <w:pPr>
        <w:jc w:val="both"/>
      </w:pPr>
      <w:r>
        <w:t>The purpose of this document is to provide the scientific approach underpinning the establishment of a narrative biostimulatory objective applicable to all water body types in the State of California. It has two intended uses. First, this document is intended to provide water quality managers and stakeholders with general conceptual models, response and causal indicators of risk pathways by which nutrient pollution and eutrophication can impair beneficial uses. Second, it provides the assumptions and scientific context for technical documents that summarize the scientific basis for numeric guidance for specific waterbody types (e.g.</w:t>
      </w:r>
      <w:r w:rsidR="00065700">
        <w:t>,</w:t>
      </w:r>
      <w:r>
        <w:t xml:space="preserve"> wadeable streams, lakes, estuaries). These waterbody–specific technical documents will be published as appendices to this main document, as they become available. </w:t>
      </w:r>
    </w:p>
    <w:p w14:paraId="4A92C4CC" w14:textId="77777777" w:rsidR="008A388C" w:rsidRDefault="008A388C" w:rsidP="007E68A1">
      <w:pPr>
        <w:jc w:val="both"/>
      </w:pPr>
      <w:r>
        <w:t xml:space="preserve">It is important to note that, in addition to nutrient enrichment and eutrophication, California’s complete suite of nutrient-related policies also addresses toxicity of certain forms of nitrogen, including toxicity of ammonia nitrogen to aquatic life and human health risks associated with elevated concentrations of nitrate and nitrite nitrogen in drinking water.  The policy related to ammonia toxicity is not being updated at this time and nitrogen toxicity is not addressed further in this document.  It is noted that the toxic levels for drinking water for all forms of inorganic nitrogen are generally greater than concentrations that are considered stimulatory or even saturating for plant and algal growth, and thus do not of themselves provide protection against adverse effects of nutrient enrichment.    </w:t>
      </w:r>
    </w:p>
    <w:p w14:paraId="7B94A33E" w14:textId="77777777" w:rsidR="008A388C" w:rsidRDefault="008A388C" w:rsidP="008A388C">
      <w:pPr>
        <w:keepNext/>
        <w:keepLines/>
        <w:pBdr>
          <w:top w:val="nil"/>
          <w:left w:val="nil"/>
          <w:bottom w:val="nil"/>
          <w:right w:val="nil"/>
          <w:between w:val="nil"/>
        </w:pBdr>
        <w:tabs>
          <w:tab w:val="left" w:pos="504"/>
        </w:tabs>
        <w:spacing w:before="120" w:after="80"/>
        <w:rPr>
          <w:rFonts w:ascii="Arial" w:eastAsia="Arial" w:hAnsi="Arial" w:cs="Arial"/>
          <w:b/>
          <w:color w:val="000000"/>
          <w:sz w:val="26"/>
          <w:szCs w:val="26"/>
        </w:rPr>
      </w:pPr>
      <w:r>
        <w:rPr>
          <w:rFonts w:ascii="Arial" w:eastAsia="Arial" w:hAnsi="Arial" w:cs="Arial"/>
          <w:b/>
          <w:color w:val="000000"/>
          <w:sz w:val="26"/>
          <w:szCs w:val="26"/>
        </w:rPr>
        <w:t>1.2 Document Organization</w:t>
      </w:r>
    </w:p>
    <w:p w14:paraId="10477943" w14:textId="77777777" w:rsidR="008A388C" w:rsidRDefault="008A388C" w:rsidP="007E68A1">
      <w:pPr>
        <w:jc w:val="both"/>
      </w:pPr>
      <w:r>
        <w:t>The document is organized into 3 sections:</w:t>
      </w:r>
    </w:p>
    <w:p w14:paraId="2103BD02" w14:textId="77777777" w:rsidR="008A388C" w:rsidRDefault="008A388C" w:rsidP="008A388C">
      <w:pPr>
        <w:jc w:val="both"/>
      </w:pPr>
      <w:r>
        <w:t xml:space="preserve">Section 1 provides an introduction and purpose of the document. </w:t>
      </w:r>
    </w:p>
    <w:p w14:paraId="2776BC03" w14:textId="77777777" w:rsidR="008A388C" w:rsidRDefault="008A388C" w:rsidP="008A388C">
      <w:pPr>
        <w:ind w:left="900" w:hanging="900"/>
        <w:jc w:val="both"/>
      </w:pPr>
      <w:r>
        <w:t>Section 2 provides a general conceptual model eutrophication, the linkage to biostimulatory substances and conditions, waterbody typology and examples of waterbody–specific conceptual models of eutrophication, and a statement of the problem with eutrophication across waterbody types in California.</w:t>
      </w:r>
    </w:p>
    <w:p w14:paraId="1117811B" w14:textId="77777777" w:rsidR="008A388C" w:rsidRDefault="008A388C" w:rsidP="008A388C">
      <w:pPr>
        <w:ind w:left="900" w:hanging="900"/>
        <w:jc w:val="both"/>
      </w:pPr>
      <w:r>
        <w:t>Section 3 summarizes key tenets of the California’s approach to assess eutrophication and approaches establish the linkage to biostimulatory substances and conditions.</w:t>
      </w:r>
    </w:p>
    <w:p w14:paraId="4DC09D42" w14:textId="77777777" w:rsidR="008A388C" w:rsidRDefault="008A388C" w:rsidP="008A388C">
      <w:pPr>
        <w:ind w:left="900" w:hanging="900"/>
        <w:jc w:val="both"/>
      </w:pPr>
      <w:r>
        <w:t xml:space="preserve">Appendix I includes key terms and definitions used in this document. </w:t>
      </w:r>
    </w:p>
    <w:p w14:paraId="715DCC82" w14:textId="77777777" w:rsidR="008A388C" w:rsidRDefault="008A388C" w:rsidP="008A388C">
      <w:pPr>
        <w:ind w:left="900" w:hanging="900"/>
        <w:jc w:val="both"/>
      </w:pPr>
    </w:p>
    <w:p w14:paraId="367B87C5" w14:textId="77777777" w:rsidR="008A388C" w:rsidRDefault="008A388C" w:rsidP="008A388C">
      <w:pPr>
        <w:ind w:left="900" w:hanging="900"/>
        <w:jc w:val="both"/>
      </w:pPr>
      <w:r>
        <w:t xml:space="preserve">  </w:t>
      </w:r>
    </w:p>
    <w:p w14:paraId="3C1463D0" w14:textId="77777777" w:rsidR="008A388C" w:rsidRDefault="008A388C" w:rsidP="008A388C">
      <w:pPr>
        <w:spacing w:after="0" w:line="240" w:lineRule="auto"/>
        <w:rPr>
          <w:b/>
          <w:color w:val="365F91"/>
          <w:sz w:val="28"/>
          <w:szCs w:val="28"/>
        </w:rPr>
      </w:pPr>
      <w:r>
        <w:br w:type="page"/>
      </w:r>
    </w:p>
    <w:p w14:paraId="7545F4D5" w14:textId="39D0A175" w:rsidR="008A388C" w:rsidRDefault="008A388C" w:rsidP="008A388C">
      <w:pPr>
        <w:pStyle w:val="Heading1"/>
      </w:pPr>
      <w:bookmarkStart w:id="29" w:name="_Toc525589892"/>
      <w:bookmarkStart w:id="30" w:name="_Toc525595044"/>
      <w:bookmarkStart w:id="31" w:name="_Toc526196680"/>
      <w:r>
        <w:t>2.  General Conceptual Model of Risk of Beneficial Use Impairment from Eutrophication and Linkage to Biostimulatory Substances and Conditions</w:t>
      </w:r>
      <w:bookmarkEnd w:id="29"/>
      <w:bookmarkEnd w:id="30"/>
      <w:bookmarkEnd w:id="31"/>
    </w:p>
    <w:p w14:paraId="17CE7A28" w14:textId="77777777" w:rsidR="008A388C" w:rsidRDefault="008A388C" w:rsidP="007E68A1">
      <w:pPr>
        <w:pBdr>
          <w:top w:val="nil"/>
          <w:left w:val="nil"/>
          <w:bottom w:val="nil"/>
          <w:right w:val="nil"/>
          <w:between w:val="nil"/>
        </w:pBdr>
        <w:spacing w:after="120"/>
        <w:ind w:hanging="90"/>
        <w:jc w:val="both"/>
        <w:rPr>
          <w:color w:val="000000"/>
        </w:rPr>
      </w:pPr>
      <w:r>
        <w:rPr>
          <w:color w:val="000000"/>
        </w:rPr>
        <w:t xml:space="preserve">Nutrient pollution and biostimulatory conditions can impair waterbodies in several ways that can ultimately result in failure to adequately support human and aquatic life beneficial uses. This can cause unaesthetic conditions, reduced recreational opportunities, or impaired quality of drinking water supply.  The connections between these biostimulatory substances, ecological response and their ultimate impacts on uses are complex and can follow a variety of causal pathways, moderated by various environmental co-factors.  An understanding of these pathways is important for several reasons, including (1) identification of the most sensitive pathways that are likely to result in the most stringent limits on nutrients, (2) specification of important co-factors that determine site-specific assimilative capacity for nutrients, and (3) elucidation of effective measures of effect or response indicators that can be used to measure and evaluate the connection between biostimulatory conditions and beneficial uses. </w:t>
      </w:r>
    </w:p>
    <w:p w14:paraId="6730FDDC" w14:textId="703E8D82" w:rsidR="008A388C" w:rsidRPr="007E68A1" w:rsidRDefault="008A388C" w:rsidP="007E68A1">
      <w:pPr>
        <w:pBdr>
          <w:top w:val="nil"/>
          <w:left w:val="nil"/>
          <w:bottom w:val="nil"/>
          <w:right w:val="nil"/>
          <w:between w:val="nil"/>
        </w:pBdr>
        <w:spacing w:after="120"/>
        <w:jc w:val="both"/>
        <w:rPr>
          <w:color w:val="000000"/>
        </w:rPr>
      </w:pPr>
      <w:bookmarkStart w:id="32" w:name="_Hlk526133766"/>
      <w:r w:rsidRPr="007E68A1">
        <w:rPr>
          <w:color w:val="000000"/>
        </w:rPr>
        <w:t>The biostimulatory assessment framework draws on concepts and terminology developed in EPA’s Ecological Risk Assessment (USEPA 1998a), Stressor Identification (USEPA 2000c), Biocriteria causal assessment (</w:t>
      </w:r>
      <w:r w:rsidR="007E68A1" w:rsidRPr="007E68A1">
        <w:rPr>
          <w:color w:val="000000"/>
        </w:rPr>
        <w:t>USEPA 1990, Cormier et al. 2000</w:t>
      </w:r>
      <w:r w:rsidRPr="007E68A1">
        <w:rPr>
          <w:color w:val="000000"/>
        </w:rPr>
        <w:t>) and Nutrient Criteria guidance (</w:t>
      </w:r>
      <w:hyperlink r:id="rId16" w:history="1">
        <w:r w:rsidR="007E68A1" w:rsidRPr="007E68A1">
          <w:rPr>
            <w:rStyle w:val="Hyperlink"/>
          </w:rPr>
          <w:t>www.epa.gov/nutrient-policy-data/criteria-development-guidance</w:t>
        </w:r>
      </w:hyperlink>
      <w:r w:rsidRPr="007E68A1">
        <w:rPr>
          <w:color w:val="000000"/>
        </w:rPr>
        <w:t>).  Important factors in the success of this approach are identifying (1) the pathways by which stressors cause adverse effects and (2) informative and representative assessment endpoints that can be used to evaluate the status of beneficial uses.   A key step in understanding the relationship between stressors and the management objective of protecting beneficial uses, along with the selection of appropriate indicators, is the development and evaluation of a conceptual model – a key component underpinning technical approaches to derive numeric nutrient criteria (</w:t>
      </w:r>
      <w:r w:rsidR="007E68A1" w:rsidRPr="007E68A1">
        <w:rPr>
          <w:color w:val="000000"/>
        </w:rPr>
        <w:t>USEPA 2001</w:t>
      </w:r>
      <w:r w:rsidRPr="007E68A1">
        <w:rPr>
          <w:color w:val="000000"/>
        </w:rPr>
        <w:t xml:space="preserve">). </w:t>
      </w:r>
      <w:bookmarkEnd w:id="32"/>
      <w:r w:rsidRPr="007E68A1">
        <w:rPr>
          <w:color w:val="000000"/>
        </w:rPr>
        <w:t xml:space="preserve"> </w:t>
      </w:r>
    </w:p>
    <w:p w14:paraId="5D87DD00" w14:textId="4930FF6A" w:rsidR="008A388C" w:rsidRDefault="008A388C" w:rsidP="008A388C">
      <w:pPr>
        <w:pBdr>
          <w:top w:val="nil"/>
          <w:left w:val="nil"/>
          <w:bottom w:val="nil"/>
          <w:right w:val="nil"/>
          <w:between w:val="nil"/>
        </w:pBdr>
        <w:spacing w:after="120"/>
        <w:ind w:firstLine="720"/>
        <w:jc w:val="both"/>
        <w:rPr>
          <w:color w:val="000000"/>
        </w:rPr>
      </w:pPr>
      <w:r w:rsidRPr="007E68A1">
        <w:rPr>
          <w:color w:val="000000"/>
        </w:rPr>
        <w:t xml:space="preserve">A conceptual model is a graphical and narrative description of the potential stressor sources within a system and the pathways by which they are likely to impact beneficial uses (Suter 1999).  </w:t>
      </w:r>
      <w:bookmarkStart w:id="33" w:name="_Hlk526133785"/>
      <w:r w:rsidRPr="007E68A1">
        <w:rPr>
          <w:color w:val="000000"/>
        </w:rPr>
        <w:t>Conceptual models consist of two general components (USEPA 2001):</w:t>
      </w:r>
      <w:r>
        <w:rPr>
          <w:color w:val="000000"/>
        </w:rPr>
        <w:t xml:space="preserve"> (1) a description of the hypothesized pathways between human activities (sources of stressors, such as loading of nutrients from agricultural activities, wastewater discharges, or municipal stormwater), stressors (in this case, nutrients), assessment endpoints and beneficial uses; and (2) a diagram that illustrates the relationships between human activities, stressors, and direct and indirect effects on assessment endpoints. </w:t>
      </w:r>
      <w:bookmarkEnd w:id="33"/>
      <w:r>
        <w:rPr>
          <w:color w:val="000000"/>
        </w:rPr>
        <w:t xml:space="preserve">The pathways or connections between sources, stressors, and effects within the conceptual model are a series of hypotheses about risk to supporting the beneficial uses.    </w:t>
      </w:r>
    </w:p>
    <w:p w14:paraId="40364169" w14:textId="77777777" w:rsidR="008A388C" w:rsidRDefault="008A388C" w:rsidP="008A388C">
      <w:pPr>
        <w:pBdr>
          <w:top w:val="nil"/>
          <w:left w:val="nil"/>
          <w:bottom w:val="nil"/>
          <w:right w:val="nil"/>
          <w:between w:val="nil"/>
        </w:pBdr>
        <w:spacing w:after="120"/>
        <w:ind w:firstLine="720"/>
        <w:jc w:val="both"/>
        <w:rPr>
          <w:color w:val="000000"/>
        </w:rPr>
      </w:pPr>
      <w:r>
        <w:rPr>
          <w:color w:val="000000"/>
        </w:rPr>
        <w:t>Conceptual models can be more informative if they capture key co-factors, ecological responses and beneficial use linkage that are specific to waterbody type. For this reason, a simple typology of aquatic habitats is provided for the purposes of organizing conceptual models and, ultimately, providing the roadmap for numeric guidance by waterbody type (</w:t>
      </w:r>
      <w:r w:rsidRPr="00BB2999">
        <w:rPr>
          <w:color w:val="000000"/>
        </w:rPr>
        <w:t>SWRCB 2014</w:t>
      </w:r>
      <w:r>
        <w:rPr>
          <w:color w:val="000000"/>
        </w:rPr>
        <w:t xml:space="preserve">). </w:t>
      </w:r>
    </w:p>
    <w:p w14:paraId="7C782F02" w14:textId="77777777" w:rsidR="008A388C" w:rsidRDefault="008A388C" w:rsidP="008A388C">
      <w:pPr>
        <w:pStyle w:val="Heading2"/>
      </w:pPr>
      <w:bookmarkStart w:id="34" w:name="_Toc525589893"/>
      <w:bookmarkStart w:id="35" w:name="_Toc525595045"/>
      <w:bookmarkStart w:id="36" w:name="_Toc526196681"/>
      <w:r>
        <w:t>2.1 Typology of Surface Waters Useful for Organizing Conceptual Models</w:t>
      </w:r>
      <w:bookmarkEnd w:id="34"/>
      <w:bookmarkEnd w:id="35"/>
      <w:bookmarkEnd w:id="36"/>
    </w:p>
    <w:p w14:paraId="29B06613" w14:textId="406A01AB" w:rsidR="008A388C" w:rsidRDefault="00C030E9" w:rsidP="008A388C">
      <w:pPr>
        <w:ind w:firstLine="720"/>
        <w:jc w:val="both"/>
      </w:pPr>
      <w:r>
        <w:t>For</w:t>
      </w:r>
      <w:r w:rsidR="008A388C">
        <w:t xml:space="preserve"> organizing conceptual models of risk to beneficial uses from nutrient overenrichment and eutrophication, California surface waters can be divided into five major aquatic habitat types: </w:t>
      </w:r>
    </w:p>
    <w:p w14:paraId="6F48B49A" w14:textId="77777777" w:rsidR="008A388C" w:rsidRDefault="008A388C" w:rsidP="008A388C">
      <w:pPr>
        <w:pBdr>
          <w:top w:val="nil"/>
          <w:left w:val="nil"/>
          <w:bottom w:val="nil"/>
          <w:right w:val="nil"/>
          <w:between w:val="nil"/>
        </w:pBdr>
        <w:spacing w:after="0" w:line="259" w:lineRule="auto"/>
        <w:ind w:left="720" w:hanging="360"/>
        <w:jc w:val="both"/>
        <w:rPr>
          <w:color w:val="000000"/>
        </w:rPr>
        <w:sectPr w:rsidR="008A388C" w:rsidSect="00673315">
          <w:pgSz w:w="12240" w:h="15840"/>
          <w:pgMar w:top="1440" w:right="1440" w:bottom="1440" w:left="1440" w:header="0" w:footer="0" w:gutter="0"/>
          <w:cols w:space="720"/>
        </w:sectPr>
      </w:pPr>
    </w:p>
    <w:p w14:paraId="53455FA5" w14:textId="77777777" w:rsidR="008A388C" w:rsidRDefault="008A388C" w:rsidP="00783E18">
      <w:pPr>
        <w:numPr>
          <w:ilvl w:val="0"/>
          <w:numId w:val="21"/>
        </w:numPr>
        <w:pBdr>
          <w:top w:val="nil"/>
          <w:left w:val="nil"/>
          <w:bottom w:val="nil"/>
          <w:right w:val="nil"/>
          <w:between w:val="nil"/>
        </w:pBdr>
        <w:spacing w:after="0" w:line="259" w:lineRule="auto"/>
        <w:contextualSpacing/>
        <w:jc w:val="both"/>
      </w:pPr>
      <w:r>
        <w:rPr>
          <w:color w:val="000000"/>
        </w:rPr>
        <w:t>Estuaries and enclosed bays</w:t>
      </w:r>
    </w:p>
    <w:p w14:paraId="277325C5" w14:textId="77777777" w:rsidR="008A388C" w:rsidRDefault="008A388C" w:rsidP="00783E18">
      <w:pPr>
        <w:numPr>
          <w:ilvl w:val="0"/>
          <w:numId w:val="21"/>
        </w:numPr>
        <w:pBdr>
          <w:top w:val="nil"/>
          <w:left w:val="nil"/>
          <w:bottom w:val="nil"/>
          <w:right w:val="nil"/>
          <w:between w:val="nil"/>
        </w:pBdr>
        <w:spacing w:after="0" w:line="259" w:lineRule="auto"/>
        <w:contextualSpacing/>
        <w:jc w:val="both"/>
      </w:pPr>
      <w:r>
        <w:rPr>
          <w:color w:val="000000"/>
        </w:rPr>
        <w:t>Lakes</w:t>
      </w:r>
    </w:p>
    <w:p w14:paraId="077CAE77" w14:textId="4C760B8C" w:rsidR="008A388C" w:rsidRPr="00C030E9" w:rsidRDefault="008A388C" w:rsidP="00783E18">
      <w:pPr>
        <w:numPr>
          <w:ilvl w:val="0"/>
          <w:numId w:val="21"/>
        </w:numPr>
        <w:pBdr>
          <w:top w:val="nil"/>
          <w:left w:val="nil"/>
          <w:bottom w:val="nil"/>
          <w:right w:val="nil"/>
          <w:between w:val="nil"/>
        </w:pBdr>
        <w:spacing w:after="0" w:line="259" w:lineRule="auto"/>
        <w:contextualSpacing/>
        <w:jc w:val="both"/>
      </w:pPr>
      <w:r>
        <w:rPr>
          <w:color w:val="000000"/>
        </w:rPr>
        <w:t>Wadeable rivers and streams</w:t>
      </w:r>
    </w:p>
    <w:p w14:paraId="67A5DDE3" w14:textId="613E3A1C" w:rsidR="00C030E9" w:rsidRDefault="00C030E9" w:rsidP="00C030E9">
      <w:pPr>
        <w:pBdr>
          <w:top w:val="nil"/>
          <w:left w:val="nil"/>
          <w:bottom w:val="nil"/>
          <w:right w:val="nil"/>
          <w:between w:val="nil"/>
        </w:pBdr>
        <w:spacing w:after="0" w:line="259" w:lineRule="auto"/>
        <w:contextualSpacing/>
        <w:jc w:val="both"/>
        <w:rPr>
          <w:color w:val="000000"/>
        </w:rPr>
      </w:pPr>
    </w:p>
    <w:p w14:paraId="2B482C8C" w14:textId="77777777" w:rsidR="00C030E9" w:rsidRDefault="00C030E9" w:rsidP="00C030E9">
      <w:pPr>
        <w:pBdr>
          <w:top w:val="nil"/>
          <w:left w:val="nil"/>
          <w:bottom w:val="nil"/>
          <w:right w:val="nil"/>
          <w:between w:val="nil"/>
        </w:pBdr>
        <w:spacing w:after="0" w:line="259" w:lineRule="auto"/>
        <w:contextualSpacing/>
        <w:jc w:val="both"/>
      </w:pPr>
    </w:p>
    <w:p w14:paraId="553DD209" w14:textId="77777777" w:rsidR="008A388C" w:rsidRDefault="008A388C" w:rsidP="00783E18">
      <w:pPr>
        <w:numPr>
          <w:ilvl w:val="0"/>
          <w:numId w:val="21"/>
        </w:numPr>
        <w:pBdr>
          <w:top w:val="nil"/>
          <w:left w:val="nil"/>
          <w:bottom w:val="nil"/>
          <w:right w:val="nil"/>
          <w:between w:val="nil"/>
        </w:pBdr>
        <w:spacing w:after="0" w:line="259" w:lineRule="auto"/>
        <w:contextualSpacing/>
        <w:jc w:val="both"/>
      </w:pPr>
      <w:r>
        <w:rPr>
          <w:color w:val="000000"/>
        </w:rPr>
        <w:t>Non-wadeable rivers and streams</w:t>
      </w:r>
    </w:p>
    <w:p w14:paraId="3FAF960F" w14:textId="77777777" w:rsidR="008A388C" w:rsidRDefault="008A388C" w:rsidP="00783E18">
      <w:pPr>
        <w:numPr>
          <w:ilvl w:val="0"/>
          <w:numId w:val="21"/>
        </w:numPr>
        <w:pBdr>
          <w:top w:val="nil"/>
          <w:left w:val="nil"/>
          <w:bottom w:val="nil"/>
          <w:right w:val="nil"/>
          <w:between w:val="nil"/>
        </w:pBdr>
        <w:spacing w:after="160" w:line="259" w:lineRule="auto"/>
        <w:contextualSpacing/>
        <w:jc w:val="both"/>
      </w:pPr>
      <w:r>
        <w:rPr>
          <w:color w:val="000000"/>
        </w:rPr>
        <w:t>Depressional wetlands</w:t>
      </w:r>
    </w:p>
    <w:p w14:paraId="4E1CA1C7" w14:textId="77777777" w:rsidR="008A388C" w:rsidRDefault="008A388C" w:rsidP="008A388C">
      <w:pPr>
        <w:jc w:val="both"/>
        <w:sectPr w:rsidR="008A388C">
          <w:type w:val="continuous"/>
          <w:pgSz w:w="12240" w:h="15840"/>
          <w:pgMar w:top="1440" w:right="1440" w:bottom="1440" w:left="1440" w:header="0" w:footer="0" w:gutter="0"/>
          <w:cols w:num="2" w:space="720" w:equalWidth="0">
            <w:col w:w="4320" w:space="720"/>
            <w:col w:w="4320" w:space="0"/>
          </w:cols>
        </w:sectPr>
      </w:pPr>
    </w:p>
    <w:tbl>
      <w:tblPr>
        <w:tblStyle w:val="PlainTable41"/>
        <w:tblW w:w="0" w:type="auto"/>
        <w:tblLook w:val="04A0" w:firstRow="1" w:lastRow="0" w:firstColumn="1" w:lastColumn="0" w:noHBand="0" w:noVBand="1"/>
      </w:tblPr>
      <w:tblGrid>
        <w:gridCol w:w="4680"/>
        <w:gridCol w:w="4680"/>
      </w:tblGrid>
      <w:tr w:rsidR="00544D95" w14:paraId="0CC3C598" w14:textId="77777777" w:rsidTr="00544D95">
        <w:trPr>
          <w:cnfStyle w:val="100000000000" w:firstRow="1" w:lastRow="0" w:firstColumn="0" w:lastColumn="0" w:oddVBand="0" w:evenVBand="0" w:oddHBand="0" w:evenHBand="0" w:firstRowFirstColumn="0" w:firstRowLastColumn="0" w:lastRowFirstColumn="0" w:lastRowLastColumn="0"/>
          <w:trHeight w:val="2880"/>
        </w:trPr>
        <w:tc>
          <w:tcPr>
            <w:cnfStyle w:val="001000000000" w:firstRow="0" w:lastRow="0" w:firstColumn="1" w:lastColumn="0" w:oddVBand="0" w:evenVBand="0" w:oddHBand="0" w:evenHBand="0" w:firstRowFirstColumn="0" w:firstRowLastColumn="0" w:lastRowFirstColumn="0" w:lastRowLastColumn="0"/>
            <w:tcW w:w="3816" w:type="dxa"/>
          </w:tcPr>
          <w:p w14:paraId="78FF2484" w14:textId="77777777" w:rsidR="00544D95" w:rsidRDefault="00544D95" w:rsidP="007245F5">
            <w:r w:rsidRPr="002E5136">
              <w:rPr>
                <w:noProof/>
                <w:lang w:eastAsia="zh-CN" w:bidi="ar-SA"/>
              </w:rPr>
              <w:drawing>
                <wp:inline distT="0" distB="0" distL="0" distR="0" wp14:anchorId="1E6AC538" wp14:editId="011CA4B4">
                  <wp:extent cx="2926080" cy="1764832"/>
                  <wp:effectExtent l="0" t="0" r="7620" b="6985"/>
                  <wp:docPr id="1038" name="Picture 17">
                    <a:extLst xmlns:a="http://schemas.openxmlformats.org/drawingml/2006/main">
                      <a:ext uri="{FF2B5EF4-FFF2-40B4-BE49-F238E27FC236}">
                        <a16:creationId xmlns:a16="http://schemas.microsoft.com/office/drawing/2014/main" id="{26123B7D-9043-48D9-925D-74D390A94A6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7">
                            <a:extLst>
                              <a:ext uri="{FF2B5EF4-FFF2-40B4-BE49-F238E27FC236}">
                                <a16:creationId xmlns:a16="http://schemas.microsoft.com/office/drawing/2014/main" id="{26123B7D-9043-48D9-925D-74D390A94A69}"/>
                              </a:ext>
                            </a:extLst>
                          </pic:cNvPr>
                          <pic:cNvPicPr>
                            <a:picLocks noChangeAspect="1"/>
                          </pic:cNvPicPr>
                        </pic:nvPicPr>
                        <pic:blipFill rotWithShape="1">
                          <a:blip r:embed="rId17" cstate="print">
                            <a:extLst>
                              <a:ext uri="{28A0092B-C50C-407E-A947-70E740481C1C}">
                                <a14:useLocalDpi xmlns:a14="http://schemas.microsoft.com/office/drawing/2010/main" val="0"/>
                              </a:ext>
                            </a:extLst>
                          </a:blip>
                          <a:srcRect l="1" t="7368" r="670" b="3137"/>
                          <a:stretch/>
                        </pic:blipFill>
                        <pic:spPr>
                          <a:xfrm>
                            <a:off x="0" y="0"/>
                            <a:ext cx="2926080" cy="1764832"/>
                          </a:xfrm>
                          <a:prstGeom prst="rect">
                            <a:avLst/>
                          </a:prstGeom>
                        </pic:spPr>
                      </pic:pic>
                    </a:graphicData>
                  </a:graphic>
                </wp:inline>
              </w:drawing>
            </w:r>
          </w:p>
        </w:tc>
        <w:tc>
          <w:tcPr>
            <w:tcW w:w="3816" w:type="dxa"/>
          </w:tcPr>
          <w:p w14:paraId="6F28D6C2" w14:textId="77777777" w:rsidR="00544D95" w:rsidRDefault="00544D95" w:rsidP="007245F5">
            <w:pPr>
              <w:cnfStyle w:val="100000000000" w:firstRow="1" w:lastRow="0" w:firstColumn="0" w:lastColumn="0" w:oddVBand="0" w:evenVBand="0" w:oddHBand="0" w:evenHBand="0" w:firstRowFirstColumn="0" w:firstRowLastColumn="0" w:lastRowFirstColumn="0" w:lastRowLastColumn="0"/>
            </w:pPr>
            <w:r w:rsidRPr="002E5136">
              <w:rPr>
                <w:noProof/>
                <w:lang w:eastAsia="zh-CN" w:bidi="ar-SA"/>
              </w:rPr>
              <w:drawing>
                <wp:inline distT="0" distB="0" distL="0" distR="0" wp14:anchorId="42E73913" wp14:editId="3B8563C6">
                  <wp:extent cx="2926080" cy="1759072"/>
                  <wp:effectExtent l="0" t="0" r="7620" b="0"/>
                  <wp:docPr id="4" name="Picture 15">
                    <a:extLst xmlns:a="http://schemas.openxmlformats.org/drawingml/2006/main">
                      <a:ext uri="{FF2B5EF4-FFF2-40B4-BE49-F238E27FC236}">
                        <a16:creationId xmlns:a16="http://schemas.microsoft.com/office/drawing/2014/main" id="{E442CEF8-7443-4938-BF4F-95917473D39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5">
                            <a:extLst>
                              <a:ext uri="{FF2B5EF4-FFF2-40B4-BE49-F238E27FC236}">
                                <a16:creationId xmlns:a16="http://schemas.microsoft.com/office/drawing/2014/main" id="{E442CEF8-7443-4938-BF4F-95917473D39B}"/>
                              </a:ext>
                            </a:extLst>
                          </pic:cNvPr>
                          <pic:cNvPicPr>
                            <a:picLocks noChangeAspect="1"/>
                          </pic:cNvPicPr>
                        </pic:nvPicPr>
                        <pic:blipFill rotWithShape="1">
                          <a:blip r:embed="rId18" cstate="print">
                            <a:extLst>
                              <a:ext uri="{28A0092B-C50C-407E-A947-70E740481C1C}">
                                <a14:useLocalDpi xmlns:a14="http://schemas.microsoft.com/office/drawing/2010/main" val="0"/>
                              </a:ext>
                            </a:extLst>
                          </a:blip>
                          <a:srcRect l="5288" t="4901" r="4625" b="13864"/>
                          <a:stretch/>
                        </pic:blipFill>
                        <pic:spPr>
                          <a:xfrm>
                            <a:off x="0" y="0"/>
                            <a:ext cx="2926080" cy="1759072"/>
                          </a:xfrm>
                          <a:prstGeom prst="rect">
                            <a:avLst/>
                          </a:prstGeom>
                        </pic:spPr>
                      </pic:pic>
                    </a:graphicData>
                  </a:graphic>
                </wp:inline>
              </w:drawing>
            </w:r>
          </w:p>
        </w:tc>
      </w:tr>
      <w:tr w:rsidR="00544D95" w14:paraId="3E9A4AE1" w14:textId="77777777" w:rsidTr="00544D95">
        <w:trPr>
          <w:cnfStyle w:val="000000100000" w:firstRow="0" w:lastRow="0" w:firstColumn="0" w:lastColumn="0" w:oddVBand="0" w:evenVBand="0" w:oddHBand="1" w:evenHBand="0" w:firstRowFirstColumn="0" w:firstRowLastColumn="0" w:lastRowFirstColumn="0" w:lastRowLastColumn="0"/>
          <w:trHeight w:val="2880"/>
        </w:trPr>
        <w:tc>
          <w:tcPr>
            <w:cnfStyle w:val="001000000000" w:firstRow="0" w:lastRow="0" w:firstColumn="1" w:lastColumn="0" w:oddVBand="0" w:evenVBand="0" w:oddHBand="0" w:evenHBand="0" w:firstRowFirstColumn="0" w:firstRowLastColumn="0" w:lastRowFirstColumn="0" w:lastRowLastColumn="0"/>
            <w:tcW w:w="3816" w:type="dxa"/>
          </w:tcPr>
          <w:p w14:paraId="4D800819" w14:textId="77777777" w:rsidR="00544D95" w:rsidRDefault="00544D95" w:rsidP="007245F5">
            <w:r w:rsidRPr="002E5136">
              <w:rPr>
                <w:noProof/>
                <w:lang w:eastAsia="zh-CN" w:bidi="ar-SA"/>
              </w:rPr>
              <w:drawing>
                <wp:inline distT="0" distB="0" distL="0" distR="0" wp14:anchorId="07516804" wp14:editId="5910270F">
                  <wp:extent cx="2926080" cy="1764832"/>
                  <wp:effectExtent l="0" t="0" r="7620" b="6985"/>
                  <wp:docPr id="7" name="Picture 13">
                    <a:extLst xmlns:a="http://schemas.openxmlformats.org/drawingml/2006/main">
                      <a:ext uri="{FF2B5EF4-FFF2-40B4-BE49-F238E27FC236}">
                        <a16:creationId xmlns:a16="http://schemas.microsoft.com/office/drawing/2014/main" id="{7FC598D5-A004-44A0-B434-ECB8677149C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3">
                            <a:extLst>
                              <a:ext uri="{FF2B5EF4-FFF2-40B4-BE49-F238E27FC236}">
                                <a16:creationId xmlns:a16="http://schemas.microsoft.com/office/drawing/2014/main" id="{7FC598D5-A004-44A0-B434-ECB8677149C7}"/>
                              </a:ext>
                            </a:extLst>
                          </pic:cNvPr>
                          <pic:cNvPicPr>
                            <a:picLocks noChangeAspect="1"/>
                          </pic:cNvPicPr>
                        </pic:nvPicPr>
                        <pic:blipFill rotWithShape="1">
                          <a:blip r:embed="rId19" cstate="print">
                            <a:extLst>
                              <a:ext uri="{28A0092B-C50C-407E-A947-70E740481C1C}">
                                <a14:useLocalDpi xmlns:a14="http://schemas.microsoft.com/office/drawing/2010/main" val="0"/>
                              </a:ext>
                            </a:extLst>
                          </a:blip>
                          <a:srcRect t="7171" b="12410"/>
                          <a:stretch/>
                        </pic:blipFill>
                        <pic:spPr>
                          <a:xfrm>
                            <a:off x="0" y="0"/>
                            <a:ext cx="2926080" cy="1764832"/>
                          </a:xfrm>
                          <a:prstGeom prst="rect">
                            <a:avLst/>
                          </a:prstGeom>
                        </pic:spPr>
                      </pic:pic>
                    </a:graphicData>
                  </a:graphic>
                </wp:inline>
              </w:drawing>
            </w:r>
          </w:p>
        </w:tc>
        <w:tc>
          <w:tcPr>
            <w:tcW w:w="3816" w:type="dxa"/>
          </w:tcPr>
          <w:p w14:paraId="43C3838B" w14:textId="77777777" w:rsidR="00544D95" w:rsidRDefault="00544D95" w:rsidP="007245F5">
            <w:pPr>
              <w:cnfStyle w:val="000000100000" w:firstRow="0" w:lastRow="0" w:firstColumn="0" w:lastColumn="0" w:oddVBand="0" w:evenVBand="0" w:oddHBand="1" w:evenHBand="0" w:firstRowFirstColumn="0" w:firstRowLastColumn="0" w:lastRowFirstColumn="0" w:lastRowLastColumn="0"/>
            </w:pPr>
            <w:r w:rsidRPr="002E5136">
              <w:rPr>
                <w:noProof/>
                <w:lang w:eastAsia="zh-CN" w:bidi="ar-SA"/>
              </w:rPr>
              <w:drawing>
                <wp:inline distT="0" distB="0" distL="0" distR="0" wp14:anchorId="5BB760D6" wp14:editId="250ACB49">
                  <wp:extent cx="2926080" cy="1764832"/>
                  <wp:effectExtent l="0" t="0" r="7620" b="6985"/>
                  <wp:docPr id="23" name="Picture 22">
                    <a:extLst xmlns:a="http://schemas.openxmlformats.org/drawingml/2006/main">
                      <a:ext uri="{FF2B5EF4-FFF2-40B4-BE49-F238E27FC236}">
                        <a16:creationId xmlns:a16="http://schemas.microsoft.com/office/drawing/2014/main" id="{847F64E2-AC2B-491A-AB7E-84334502382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2">
                            <a:extLst>
                              <a:ext uri="{FF2B5EF4-FFF2-40B4-BE49-F238E27FC236}">
                                <a16:creationId xmlns:a16="http://schemas.microsoft.com/office/drawing/2014/main" id="{847F64E2-AC2B-491A-AB7E-84334502382F}"/>
                              </a:ext>
                            </a:extLst>
                          </pic:cNvPr>
                          <pic:cNvPicPr>
                            <a:picLocks noChangeAspect="1"/>
                          </pic:cNvPicPr>
                        </pic:nvPicPr>
                        <pic:blipFill rotWithShape="1">
                          <a:blip r:embed="rId20" cstate="print">
                            <a:extLst>
                              <a:ext uri="{28A0092B-C50C-407E-A947-70E740481C1C}">
                                <a14:useLocalDpi xmlns:a14="http://schemas.microsoft.com/office/drawing/2010/main" val="0"/>
                              </a:ext>
                            </a:extLst>
                          </a:blip>
                          <a:srcRect t="10442" b="9108"/>
                          <a:stretch/>
                        </pic:blipFill>
                        <pic:spPr>
                          <a:xfrm>
                            <a:off x="0" y="0"/>
                            <a:ext cx="2926080" cy="1764832"/>
                          </a:xfrm>
                          <a:prstGeom prst="rect">
                            <a:avLst/>
                          </a:prstGeom>
                        </pic:spPr>
                      </pic:pic>
                    </a:graphicData>
                  </a:graphic>
                </wp:inline>
              </w:drawing>
            </w:r>
          </w:p>
        </w:tc>
      </w:tr>
      <w:tr w:rsidR="00544D95" w14:paraId="374CF549" w14:textId="77777777" w:rsidTr="00544D95">
        <w:trPr>
          <w:trHeight w:val="2880"/>
        </w:trPr>
        <w:tc>
          <w:tcPr>
            <w:cnfStyle w:val="001000000000" w:firstRow="0" w:lastRow="0" w:firstColumn="1" w:lastColumn="0" w:oddVBand="0" w:evenVBand="0" w:oddHBand="0" w:evenHBand="0" w:firstRowFirstColumn="0" w:firstRowLastColumn="0" w:lastRowFirstColumn="0" w:lastRowLastColumn="0"/>
            <w:tcW w:w="3816" w:type="dxa"/>
          </w:tcPr>
          <w:p w14:paraId="40377C58" w14:textId="77777777" w:rsidR="00544D95" w:rsidRDefault="00544D95" w:rsidP="007245F5">
            <w:r w:rsidRPr="002E5136">
              <w:rPr>
                <w:noProof/>
                <w:lang w:eastAsia="zh-CN" w:bidi="ar-SA"/>
              </w:rPr>
              <w:drawing>
                <wp:inline distT="0" distB="0" distL="0" distR="0" wp14:anchorId="2A256552" wp14:editId="77ACBE4C">
                  <wp:extent cx="2926080" cy="1764832"/>
                  <wp:effectExtent l="0" t="0" r="7620" b="6985"/>
                  <wp:docPr id="1039" name="Picture 7">
                    <a:extLst xmlns:a="http://schemas.openxmlformats.org/drawingml/2006/main">
                      <a:ext uri="{FF2B5EF4-FFF2-40B4-BE49-F238E27FC236}">
                        <a16:creationId xmlns:a16="http://schemas.microsoft.com/office/drawing/2014/main" id="{44683292-1580-44A0-BB89-27535967BD7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id="{44683292-1580-44A0-BB89-27535967BD73}"/>
                              </a:ext>
                            </a:extLst>
                          </pic:cNvPr>
                          <pic:cNvPicPr>
                            <a:picLocks noChangeAspect="1"/>
                          </pic:cNvPicPr>
                        </pic:nvPicPr>
                        <pic:blipFill rotWithShape="1">
                          <a:blip r:embed="rId21" cstate="print">
                            <a:extLst>
                              <a:ext uri="{28A0092B-C50C-407E-A947-70E740481C1C}">
                                <a14:useLocalDpi xmlns:a14="http://schemas.microsoft.com/office/drawing/2010/main" val="0"/>
                              </a:ext>
                            </a:extLst>
                          </a:blip>
                          <a:srcRect b="7262"/>
                          <a:stretch/>
                        </pic:blipFill>
                        <pic:spPr>
                          <a:xfrm>
                            <a:off x="0" y="0"/>
                            <a:ext cx="2926080" cy="1764832"/>
                          </a:xfrm>
                          <a:prstGeom prst="rect">
                            <a:avLst/>
                          </a:prstGeom>
                        </pic:spPr>
                      </pic:pic>
                    </a:graphicData>
                  </a:graphic>
                </wp:inline>
              </w:drawing>
            </w:r>
          </w:p>
        </w:tc>
        <w:tc>
          <w:tcPr>
            <w:tcW w:w="3816" w:type="dxa"/>
          </w:tcPr>
          <w:p w14:paraId="2BAA174F" w14:textId="77777777" w:rsidR="00544D95" w:rsidRDefault="00544D95" w:rsidP="007245F5">
            <w:pPr>
              <w:cnfStyle w:val="000000000000" w:firstRow="0" w:lastRow="0" w:firstColumn="0" w:lastColumn="0" w:oddVBand="0" w:evenVBand="0" w:oddHBand="0" w:evenHBand="0" w:firstRowFirstColumn="0" w:firstRowLastColumn="0" w:lastRowFirstColumn="0" w:lastRowLastColumn="0"/>
            </w:pPr>
            <w:r w:rsidRPr="002E5136">
              <w:rPr>
                <w:noProof/>
                <w:lang w:eastAsia="zh-CN" w:bidi="ar-SA"/>
              </w:rPr>
              <w:drawing>
                <wp:inline distT="0" distB="0" distL="0" distR="0" wp14:anchorId="390D5CB3" wp14:editId="50AA18DE">
                  <wp:extent cx="2926080" cy="1764832"/>
                  <wp:effectExtent l="0" t="0" r="7620" b="6985"/>
                  <wp:docPr id="20" name="Picture 19">
                    <a:extLst xmlns:a="http://schemas.openxmlformats.org/drawingml/2006/main">
                      <a:ext uri="{FF2B5EF4-FFF2-40B4-BE49-F238E27FC236}">
                        <a16:creationId xmlns:a16="http://schemas.microsoft.com/office/drawing/2014/main" id="{20F0B313-C4D6-45B2-9998-7D8874A0AC9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9">
                            <a:extLst>
                              <a:ext uri="{FF2B5EF4-FFF2-40B4-BE49-F238E27FC236}">
                                <a16:creationId xmlns:a16="http://schemas.microsoft.com/office/drawing/2014/main" id="{20F0B313-C4D6-45B2-9998-7D8874A0AC91}"/>
                              </a:ext>
                            </a:extLst>
                          </pic:cNvPr>
                          <pic:cNvPicPr>
                            <a:picLocks noChangeAspect="1"/>
                          </pic:cNvPicPr>
                        </pic:nvPicPr>
                        <pic:blipFill rotWithShape="1">
                          <a:blip r:embed="rId22" cstate="print">
                            <a:extLst>
                              <a:ext uri="{28A0092B-C50C-407E-A947-70E740481C1C}">
                                <a14:useLocalDpi xmlns:a14="http://schemas.microsoft.com/office/drawing/2010/main" val="0"/>
                              </a:ext>
                            </a:extLst>
                          </a:blip>
                          <a:srcRect b="9173"/>
                          <a:stretch/>
                        </pic:blipFill>
                        <pic:spPr>
                          <a:xfrm>
                            <a:off x="0" y="0"/>
                            <a:ext cx="2926080" cy="1764832"/>
                          </a:xfrm>
                          <a:prstGeom prst="rect">
                            <a:avLst/>
                          </a:prstGeom>
                        </pic:spPr>
                      </pic:pic>
                    </a:graphicData>
                  </a:graphic>
                </wp:inline>
              </w:drawing>
            </w:r>
          </w:p>
        </w:tc>
      </w:tr>
    </w:tbl>
    <w:p w14:paraId="6F039F32" w14:textId="77777777" w:rsidR="00544D95" w:rsidRDefault="00544D95" w:rsidP="00DF5E35">
      <w:pPr>
        <w:pStyle w:val="TOF"/>
      </w:pPr>
    </w:p>
    <w:p w14:paraId="3886F66E" w14:textId="7A8D5DDA" w:rsidR="00544D95" w:rsidRDefault="0028479E" w:rsidP="00544D95">
      <w:pPr>
        <w:pStyle w:val="TOF"/>
      </w:pPr>
      <w:bookmarkStart w:id="37" w:name="_Toc526197074"/>
      <w:r>
        <w:t>Figure 2.</w:t>
      </w:r>
      <w:r w:rsidR="00A44049">
        <w:t>1.</w:t>
      </w:r>
      <w:r w:rsidR="00544D95">
        <w:t xml:space="preserve">  </w:t>
      </w:r>
      <w:r w:rsidR="00A44049">
        <w:t>Different water body typologies throughout California</w:t>
      </w:r>
      <w:r w:rsidR="00544D95">
        <w:t xml:space="preserve">: Merced River in Yosemite National Park (photo by </w:t>
      </w:r>
      <w:r w:rsidR="00544D95" w:rsidRPr="00734FAF">
        <w:t>Pavel Špindler</w:t>
      </w:r>
      <w:r w:rsidR="00544D95">
        <w:t xml:space="preserve">), Tomales Bay in Marin County (photo by </w:t>
      </w:r>
      <w:r w:rsidR="00544D95" w:rsidRPr="00734FAF">
        <w:t>Oleg Alexandrov</w:t>
      </w:r>
      <w:r w:rsidR="00544D95">
        <w:t>), the American River in Sacramento, Waddell Creek in Big Basin State Park, Lake Tahoe spanning the California-Nevada border , and the Klamath River mouth in Del Norte County. (Photo source: Wikimedia Commons)</w:t>
      </w:r>
      <w:bookmarkEnd w:id="37"/>
    </w:p>
    <w:p w14:paraId="66B0E0AB" w14:textId="0AE1D1AD" w:rsidR="008A388C" w:rsidRDefault="008A388C" w:rsidP="004E165F">
      <w:bookmarkStart w:id="38" w:name="_Toc525999657"/>
      <w:r>
        <w:t>We note that wetlands</w:t>
      </w:r>
      <w:r>
        <w:rPr>
          <w:vertAlign w:val="superscript"/>
        </w:rPr>
        <w:footnoteReference w:id="2"/>
      </w:r>
      <w:r>
        <w:t xml:space="preserve"> and deepwater habitat</w:t>
      </w:r>
      <w:r>
        <w:rPr>
          <w:vertAlign w:val="superscript"/>
        </w:rPr>
        <w:footnoteReference w:id="3"/>
      </w:r>
      <w:r>
        <w:t xml:space="preserve"> are component</w:t>
      </w:r>
      <w:r w:rsidR="00065700">
        <w:t>s</w:t>
      </w:r>
      <w:r>
        <w:t xml:space="preserve"> of each the first four categories of aquatic habitats. Depressional wetlands are a class in of themselves, but all other categories of waterbodies have wetlands as a habitat type. Below are definitions of these classes.</w:t>
      </w:r>
      <w:bookmarkEnd w:id="38"/>
      <w:r>
        <w:t xml:space="preserve"> </w:t>
      </w:r>
    </w:p>
    <w:p w14:paraId="2AA7DC6F" w14:textId="14359305" w:rsidR="008A388C" w:rsidRDefault="008A388C" w:rsidP="008A388C">
      <w:pPr>
        <w:ind w:left="360" w:hanging="360"/>
        <w:jc w:val="both"/>
      </w:pPr>
      <w:r>
        <w:rPr>
          <w:b/>
        </w:rPr>
        <w:t>Estuaries and Enclosed Bays</w:t>
      </w:r>
      <w:r>
        <w:t xml:space="preserve">– </w:t>
      </w:r>
      <w:r>
        <w:rPr>
          <w:b/>
        </w:rPr>
        <w:t>Estuaries</w:t>
      </w:r>
      <w:r>
        <w:t xml:space="preserve"> are the subtidal and intertidal aquatic habitats that are usually semi-enclosed by land but have surface water or groundwater exchange with the ocean, with ocean-derived water at least occasionally diluted by freshwater runoff from the land. The upstream and landward limit is where ocean-derived salts measure less than 0.5 ppt during the period of average annual low flow and water level is not influenced by the tides. The seaward limit can be (1) an imaginary line closing the mouth of a river, bay, or sound; and (2) the seaward limit of wetland emergents, shrubs, or trees when not included in (1).  By the SWRCB definition </w:t>
      </w:r>
      <w:r w:rsidRPr="00B27A90">
        <w:t>(Porter-Cologne</w:t>
      </w:r>
      <w:r w:rsidR="00B27A90" w:rsidRPr="00B27A90">
        <w:t xml:space="preserve"> Act</w:t>
      </w:r>
      <w:r w:rsidR="00B27A90">
        <w:t xml:space="preserve"> 1969</w:t>
      </w:r>
      <w:r>
        <w:t>,) “</w:t>
      </w:r>
      <w:r w:rsidRPr="00C030E9">
        <w:t>Enclosed bays</w:t>
      </w:r>
      <w:r>
        <w:t>” means indentations along the coast which enclose an area of oceanic water within distinct headlands or harbor works. Included are all bays where the narrowest distance between the headlands or outermost harbor works is less than 75</w:t>
      </w:r>
      <w:r w:rsidR="00352C27">
        <w:t xml:space="preserve">% </w:t>
      </w:r>
      <w:r>
        <w:t xml:space="preserve">of the greatest dimension of the enclosed portion of the bay. They are perennially open to tidal exchange with a large ocean inlet and, as consequence, are well-flushed, often deep and subject to potentially high energy input from tides and currents. </w:t>
      </w:r>
    </w:p>
    <w:p w14:paraId="04C05FC6" w14:textId="6655F0FE" w:rsidR="008A388C" w:rsidRDefault="008A388C" w:rsidP="008A388C">
      <w:pPr>
        <w:ind w:left="360" w:hanging="360"/>
        <w:jc w:val="both"/>
      </w:pPr>
      <w:r>
        <w:rPr>
          <w:b/>
        </w:rPr>
        <w:t xml:space="preserve">Lakes </w:t>
      </w:r>
      <w:r>
        <w:t xml:space="preserve">– Lakes are the deepwater (greater than 2 m) and fringing wetland aquatic habitats that can be found situated in a topographic depression or dammed river channel. They are typically greater than 8 ha in size and are characterized by having an area of open water with fringing bedrock shoreline, riparian trees, shrubs, persistent emergents, emergent mosses, or lichens. Ocean-derived salinities are always less than 0.5 ppt, though some lakes can be alkaline with salinities &gt;0.5 ppt due to underlying geology. </w:t>
      </w:r>
    </w:p>
    <w:p w14:paraId="6326F36A" w14:textId="6BB2A5A1" w:rsidR="008A388C" w:rsidRDefault="008A388C" w:rsidP="008A388C">
      <w:pPr>
        <w:ind w:left="360" w:hanging="360"/>
        <w:jc w:val="both"/>
      </w:pPr>
      <w:bookmarkStart w:id="39" w:name="_lnxbz9" w:colFirst="0" w:colLast="0"/>
      <w:bookmarkEnd w:id="39"/>
      <w:r>
        <w:rPr>
          <w:b/>
        </w:rPr>
        <w:t>Rivers and Streams</w:t>
      </w:r>
      <w:r>
        <w:t xml:space="preserve"> – Rivers and streams are the freshwater wetlands and deepwater habitats contained within a channel with a linear path of flow and ocean derived salinities of &lt;0.5 ppt.  Rivers and streams are further classified into wadeable and non-wadeable streams.  This classification into wadeable and non-wadeable is useful because it generally points to the types of response indicators that are applicable in each type of riverine environments.  We note that some response indicators typical of non-wadeable streams can be of use in wadeable rivers, and vis</w:t>
      </w:r>
      <w:r w:rsidR="003C1AD1">
        <w:t xml:space="preserve">e </w:t>
      </w:r>
      <w:r>
        <w:t xml:space="preserve">versa. Thus, this is meant to serve as a general guide, rather than a hard and fast rule.  </w:t>
      </w:r>
    </w:p>
    <w:p w14:paraId="68550418" w14:textId="77777777" w:rsidR="008A388C" w:rsidRDefault="008A388C" w:rsidP="008A388C">
      <w:pPr>
        <w:ind w:left="360" w:hanging="360"/>
        <w:jc w:val="both"/>
      </w:pPr>
      <w:r>
        <w:rPr>
          <w:b/>
        </w:rPr>
        <w:t>Wadeable streams, creeks and small rivers</w:t>
      </w:r>
      <w:r>
        <w:t xml:space="preserve"> are thus called because they are shallow enough to be sampled using methods that involve wading into the water. They typically include waters classified as 1st through 4th order in the Strahler Stream Order classification system (based on the number of tributaries upstream), but some large rivers greater than the 5</w:t>
      </w:r>
      <w:r>
        <w:rPr>
          <w:vertAlign w:val="superscript"/>
        </w:rPr>
        <w:t>th</w:t>
      </w:r>
      <w:r>
        <w:t xml:space="preserve"> Strahler Stream order can be wadeable, particularly if they have intermittent flow.</w:t>
      </w:r>
    </w:p>
    <w:p w14:paraId="208AFDB6" w14:textId="77777777" w:rsidR="008A388C" w:rsidRDefault="008A388C" w:rsidP="008A388C">
      <w:pPr>
        <w:ind w:left="360" w:hanging="360"/>
        <w:jc w:val="both"/>
      </w:pPr>
      <w:r>
        <w:rPr>
          <w:b/>
        </w:rPr>
        <w:t xml:space="preserve">Non-wadeable streams and rivers </w:t>
      </w:r>
      <w:r>
        <w:t>are thus called because they are typically deeper than what can be sampled by wading. They typically include waters classified as 5</w:t>
      </w:r>
      <w:r>
        <w:rPr>
          <w:vertAlign w:val="superscript"/>
        </w:rPr>
        <w:t>th</w:t>
      </w:r>
      <w:r>
        <w:t xml:space="preserve"> order or larger in the Strahler Stream Order classification system (based on the number of tributaries upstream). </w:t>
      </w:r>
    </w:p>
    <w:p w14:paraId="0F3405AA" w14:textId="77777777" w:rsidR="008A388C" w:rsidRDefault="008A388C" w:rsidP="008A388C">
      <w:pPr>
        <w:ind w:left="360" w:hanging="360"/>
        <w:jc w:val="both"/>
      </w:pPr>
      <w:r>
        <w:rPr>
          <w:b/>
        </w:rPr>
        <w:t>Depressional Wetlands</w:t>
      </w:r>
      <w:r>
        <w:t xml:space="preserve"> – Depressional wetlands are non-tidal, shallow water aquatic habitats typically less than two meters in depth found in topographic low or dammed channel, with ocean-derived salinities less than 0.5 ppt. Depressional wetlands can dominated by open water, riparian trees, shrubs, persistent emergent vegetation, emergent mosses, or lichens. </w:t>
      </w:r>
    </w:p>
    <w:p w14:paraId="59C9F65D" w14:textId="77777777" w:rsidR="008A388C" w:rsidRDefault="008A388C" w:rsidP="008A388C">
      <w:pPr>
        <w:pStyle w:val="Heading2"/>
      </w:pPr>
      <w:bookmarkStart w:id="40" w:name="_Toc525589894"/>
      <w:bookmarkStart w:id="41" w:name="_Toc525595046"/>
      <w:bookmarkStart w:id="42" w:name="_Toc526196682"/>
      <w:r>
        <w:t>2.2 Beneficial Uses</w:t>
      </w:r>
      <w:bookmarkEnd w:id="40"/>
      <w:bookmarkEnd w:id="41"/>
      <w:bookmarkEnd w:id="42"/>
    </w:p>
    <w:p w14:paraId="33FD430D" w14:textId="77777777" w:rsidR="008A388C" w:rsidRDefault="008A388C" w:rsidP="008A388C">
      <w:pPr>
        <w:pBdr>
          <w:top w:val="nil"/>
          <w:left w:val="nil"/>
          <w:bottom w:val="nil"/>
          <w:right w:val="nil"/>
          <w:between w:val="nil"/>
        </w:pBdr>
        <w:ind w:firstLine="720"/>
        <w:jc w:val="both"/>
        <w:rPr>
          <w:color w:val="000000"/>
        </w:rPr>
      </w:pPr>
      <w:bookmarkStart w:id="43" w:name="_1ksv4uv" w:colFirst="0" w:colLast="0"/>
      <w:bookmarkEnd w:id="43"/>
      <w:r>
        <w:rPr>
          <w:color w:val="000000"/>
        </w:rPr>
        <w:t>State policy for water quality control in California is directed toward achieving the highest water quality consistent with maximum benefit to the people of the state.  Aquatic ecosystems and groundwater aquifers provide many different benefits to the people of the state.  Beneficial uses define the resources, services, and qualities of the state’s aquatic systems that guide protection of water quality; they also serve as a basis for establishing water quality objectives.  The list of designated uses provides a starting point in understanding the relationships between nutrients and use impairment. Table 2.1 provides some examples of designated beneficial uses in California estuaries, enclosed bays, and inland waters.  It should be noted that waterbodies typically are assigned multiple beneficial uses.</w:t>
      </w:r>
    </w:p>
    <w:p w14:paraId="16020777" w14:textId="45AAF131" w:rsidR="008A388C" w:rsidRDefault="008A388C" w:rsidP="008A388C">
      <w:pPr>
        <w:pStyle w:val="TOT"/>
        <w:rPr>
          <w:rFonts w:eastAsia="Arial"/>
        </w:rPr>
      </w:pPr>
      <w:bookmarkStart w:id="44" w:name="_44sinio" w:colFirst="0" w:colLast="0"/>
      <w:bookmarkStart w:id="45" w:name="_Toc526428308"/>
      <w:bookmarkEnd w:id="44"/>
      <w:r>
        <w:rPr>
          <w:rFonts w:eastAsia="Arial"/>
        </w:rPr>
        <w:t>Table 2.1 Designated Beneficial Uses in California Surface Waters</w:t>
      </w:r>
      <w:bookmarkEnd w:id="45"/>
      <w:r>
        <w:rPr>
          <w:rFonts w:eastAsia="Arial"/>
        </w:rPr>
        <w:t xml:space="preserve"> </w:t>
      </w:r>
    </w:p>
    <w:tbl>
      <w:tblPr>
        <w:tblW w:w="9635" w:type="dxa"/>
        <w:tblInd w:w="-5" w:type="dxa"/>
        <w:tblLayout w:type="fixed"/>
        <w:tblCellMar>
          <w:left w:w="115" w:type="dxa"/>
          <w:right w:w="115" w:type="dxa"/>
        </w:tblCellMar>
        <w:tblLook w:val="0400" w:firstRow="0" w:lastRow="0" w:firstColumn="0" w:lastColumn="0" w:noHBand="0" w:noVBand="1"/>
      </w:tblPr>
      <w:tblGrid>
        <w:gridCol w:w="3065"/>
        <w:gridCol w:w="2970"/>
        <w:gridCol w:w="3600"/>
      </w:tblGrid>
      <w:tr w:rsidR="008A388C" w14:paraId="1C7C2E15" w14:textId="77777777" w:rsidTr="00797664">
        <w:trPr>
          <w:trHeight w:val="2480"/>
        </w:trPr>
        <w:tc>
          <w:tcPr>
            <w:tcW w:w="3065" w:type="dxa"/>
            <w:shd w:val="clear" w:color="auto" w:fill="auto"/>
          </w:tcPr>
          <w:p w14:paraId="66E52D7B" w14:textId="77777777" w:rsidR="008A388C" w:rsidRDefault="008A388C" w:rsidP="00797664">
            <w:pPr>
              <w:pBdr>
                <w:top w:val="nil"/>
                <w:left w:val="nil"/>
                <w:bottom w:val="nil"/>
                <w:right w:val="nil"/>
                <w:between w:val="nil"/>
              </w:pBdr>
              <w:spacing w:after="0" w:line="240" w:lineRule="auto"/>
              <w:ind w:left="173"/>
              <w:rPr>
                <w:color w:val="000000"/>
              </w:rPr>
            </w:pPr>
            <w:r>
              <w:rPr>
                <w:color w:val="000000"/>
              </w:rPr>
              <w:t>Agricultural supply</w:t>
            </w:r>
          </w:p>
          <w:p w14:paraId="010EABF1" w14:textId="77777777" w:rsidR="008A388C" w:rsidRDefault="008A388C" w:rsidP="00797664">
            <w:pPr>
              <w:pBdr>
                <w:top w:val="nil"/>
                <w:left w:val="nil"/>
                <w:bottom w:val="nil"/>
                <w:right w:val="nil"/>
                <w:between w:val="nil"/>
              </w:pBdr>
              <w:spacing w:after="0" w:line="240" w:lineRule="auto"/>
              <w:ind w:left="173"/>
              <w:rPr>
                <w:color w:val="000000"/>
              </w:rPr>
            </w:pPr>
            <w:r>
              <w:rPr>
                <w:color w:val="000000"/>
              </w:rPr>
              <w:t>Areas of special biological significance</w:t>
            </w:r>
          </w:p>
          <w:p w14:paraId="2AE6F160" w14:textId="77777777" w:rsidR="008A388C" w:rsidRDefault="008A388C" w:rsidP="00797664">
            <w:pPr>
              <w:pBdr>
                <w:top w:val="nil"/>
                <w:left w:val="nil"/>
                <w:bottom w:val="nil"/>
                <w:right w:val="nil"/>
                <w:between w:val="nil"/>
              </w:pBdr>
              <w:spacing w:after="0" w:line="240" w:lineRule="auto"/>
              <w:ind w:left="173"/>
              <w:rPr>
                <w:color w:val="000000"/>
              </w:rPr>
            </w:pPr>
            <w:r>
              <w:rPr>
                <w:color w:val="000000"/>
              </w:rPr>
              <w:t>Aquaculture</w:t>
            </w:r>
          </w:p>
          <w:p w14:paraId="78C6CBE3" w14:textId="77777777" w:rsidR="008A388C" w:rsidRDefault="008A388C" w:rsidP="00797664">
            <w:pPr>
              <w:pBdr>
                <w:top w:val="nil"/>
                <w:left w:val="nil"/>
                <w:bottom w:val="nil"/>
                <w:right w:val="nil"/>
                <w:between w:val="nil"/>
              </w:pBdr>
              <w:spacing w:after="0" w:line="240" w:lineRule="auto"/>
              <w:ind w:left="173"/>
              <w:rPr>
                <w:color w:val="000000"/>
              </w:rPr>
            </w:pPr>
            <w:r>
              <w:rPr>
                <w:color w:val="000000"/>
              </w:rPr>
              <w:t xml:space="preserve">Cold Freshwater Habitat </w:t>
            </w:r>
          </w:p>
          <w:p w14:paraId="7D88AAE6" w14:textId="77777777" w:rsidR="008A388C" w:rsidRDefault="008A388C" w:rsidP="00797664">
            <w:pPr>
              <w:pBdr>
                <w:top w:val="nil"/>
                <w:left w:val="nil"/>
                <w:bottom w:val="nil"/>
                <w:right w:val="nil"/>
                <w:between w:val="nil"/>
              </w:pBdr>
              <w:spacing w:after="0" w:line="240" w:lineRule="auto"/>
              <w:ind w:left="173"/>
              <w:rPr>
                <w:color w:val="000000"/>
              </w:rPr>
            </w:pPr>
            <w:r>
              <w:t>Commercial</w:t>
            </w:r>
            <w:r>
              <w:rPr>
                <w:color w:val="000000"/>
              </w:rPr>
              <w:t xml:space="preserve"> Fisheries</w:t>
            </w:r>
          </w:p>
          <w:p w14:paraId="7F1143A5" w14:textId="77777777" w:rsidR="008A388C" w:rsidRDefault="008A388C" w:rsidP="00797664">
            <w:pPr>
              <w:pBdr>
                <w:top w:val="nil"/>
                <w:left w:val="nil"/>
                <w:bottom w:val="nil"/>
                <w:right w:val="nil"/>
                <w:between w:val="nil"/>
              </w:pBdr>
              <w:spacing w:after="0" w:line="240" w:lineRule="auto"/>
              <w:ind w:left="173"/>
              <w:rPr>
                <w:color w:val="000000"/>
              </w:rPr>
            </w:pPr>
            <w:r>
              <w:rPr>
                <w:color w:val="000000"/>
              </w:rPr>
              <w:t xml:space="preserve">Freshwater Replenishment </w:t>
            </w:r>
          </w:p>
          <w:p w14:paraId="545D0827" w14:textId="77777777" w:rsidR="008A388C" w:rsidRDefault="008A388C" w:rsidP="00797664">
            <w:pPr>
              <w:pBdr>
                <w:top w:val="nil"/>
                <w:left w:val="nil"/>
                <w:bottom w:val="nil"/>
                <w:right w:val="nil"/>
                <w:between w:val="nil"/>
              </w:pBdr>
              <w:spacing w:after="0" w:line="240" w:lineRule="auto"/>
              <w:ind w:left="173"/>
              <w:rPr>
                <w:color w:val="000000"/>
              </w:rPr>
            </w:pPr>
            <w:r>
              <w:rPr>
                <w:color w:val="000000"/>
              </w:rPr>
              <w:t xml:space="preserve">Fish Migration </w:t>
            </w:r>
          </w:p>
          <w:p w14:paraId="100E99B6" w14:textId="77777777" w:rsidR="008A388C" w:rsidRDefault="008A388C" w:rsidP="00797664">
            <w:pPr>
              <w:pBdr>
                <w:top w:val="nil"/>
                <w:left w:val="nil"/>
                <w:bottom w:val="nil"/>
                <w:right w:val="nil"/>
                <w:between w:val="nil"/>
              </w:pBdr>
              <w:spacing w:after="0" w:line="240" w:lineRule="auto"/>
              <w:ind w:left="173"/>
              <w:rPr>
                <w:color w:val="000000"/>
              </w:rPr>
            </w:pPr>
            <w:r>
              <w:rPr>
                <w:color w:val="000000"/>
              </w:rPr>
              <w:t xml:space="preserve">Groundwater Recharge </w:t>
            </w:r>
          </w:p>
        </w:tc>
        <w:tc>
          <w:tcPr>
            <w:tcW w:w="2970" w:type="dxa"/>
            <w:shd w:val="clear" w:color="auto" w:fill="auto"/>
          </w:tcPr>
          <w:p w14:paraId="1B2B90EB" w14:textId="77777777" w:rsidR="008A388C" w:rsidRDefault="008A388C" w:rsidP="00797664">
            <w:pPr>
              <w:pBdr>
                <w:top w:val="nil"/>
                <w:left w:val="nil"/>
                <w:bottom w:val="nil"/>
                <w:right w:val="nil"/>
                <w:between w:val="nil"/>
              </w:pBdr>
              <w:spacing w:after="0" w:line="240" w:lineRule="auto"/>
              <w:ind w:left="173"/>
              <w:rPr>
                <w:color w:val="000000"/>
              </w:rPr>
            </w:pPr>
            <w:r>
              <w:rPr>
                <w:color w:val="000000"/>
              </w:rPr>
              <w:t xml:space="preserve">Hydropower Generation </w:t>
            </w:r>
          </w:p>
          <w:p w14:paraId="71634AE1" w14:textId="77777777" w:rsidR="008A388C" w:rsidRDefault="008A388C" w:rsidP="00797664">
            <w:pPr>
              <w:pBdr>
                <w:top w:val="nil"/>
                <w:left w:val="nil"/>
                <w:bottom w:val="nil"/>
                <w:right w:val="nil"/>
                <w:between w:val="nil"/>
              </w:pBdr>
              <w:spacing w:after="0" w:line="240" w:lineRule="auto"/>
              <w:ind w:left="173"/>
              <w:rPr>
                <w:color w:val="000000"/>
              </w:rPr>
            </w:pPr>
            <w:r>
              <w:rPr>
                <w:color w:val="000000"/>
              </w:rPr>
              <w:t xml:space="preserve">Municipal and Domestic Supply </w:t>
            </w:r>
          </w:p>
          <w:p w14:paraId="093C8CD5" w14:textId="77777777" w:rsidR="008A388C" w:rsidRDefault="008A388C" w:rsidP="00797664">
            <w:pPr>
              <w:pBdr>
                <w:top w:val="nil"/>
                <w:left w:val="nil"/>
                <w:bottom w:val="nil"/>
                <w:right w:val="nil"/>
                <w:between w:val="nil"/>
              </w:pBdr>
              <w:spacing w:after="0" w:line="240" w:lineRule="auto"/>
              <w:ind w:left="173"/>
              <w:rPr>
                <w:color w:val="000000"/>
              </w:rPr>
            </w:pPr>
            <w:r>
              <w:rPr>
                <w:color w:val="000000"/>
              </w:rPr>
              <w:t xml:space="preserve">Navigation </w:t>
            </w:r>
          </w:p>
          <w:p w14:paraId="72F37ADA" w14:textId="77777777" w:rsidR="008A388C" w:rsidRDefault="008A388C" w:rsidP="00797664">
            <w:pPr>
              <w:pBdr>
                <w:top w:val="nil"/>
                <w:left w:val="nil"/>
                <w:bottom w:val="nil"/>
                <w:right w:val="nil"/>
                <w:between w:val="nil"/>
              </w:pBdr>
              <w:spacing w:after="0" w:line="240" w:lineRule="auto"/>
              <w:ind w:left="173"/>
              <w:rPr>
                <w:color w:val="000000"/>
              </w:rPr>
            </w:pPr>
            <w:r>
              <w:rPr>
                <w:color w:val="000000"/>
              </w:rPr>
              <w:t xml:space="preserve">Industrial Process Supply </w:t>
            </w:r>
          </w:p>
          <w:p w14:paraId="01BCF53C" w14:textId="77777777" w:rsidR="008A388C" w:rsidRDefault="008A388C" w:rsidP="00797664">
            <w:pPr>
              <w:pBdr>
                <w:top w:val="nil"/>
                <w:left w:val="nil"/>
                <w:bottom w:val="nil"/>
                <w:right w:val="nil"/>
                <w:between w:val="nil"/>
              </w:pBdr>
              <w:spacing w:after="0" w:line="240" w:lineRule="auto"/>
              <w:ind w:left="173"/>
              <w:rPr>
                <w:color w:val="000000"/>
              </w:rPr>
            </w:pPr>
            <w:r>
              <w:rPr>
                <w:color w:val="000000"/>
              </w:rPr>
              <w:t xml:space="preserve">Shellfish Harvesting </w:t>
            </w:r>
          </w:p>
          <w:p w14:paraId="4918B1F9" w14:textId="77777777" w:rsidR="008A388C" w:rsidRDefault="008A388C" w:rsidP="00797664">
            <w:pPr>
              <w:pBdr>
                <w:top w:val="nil"/>
                <w:left w:val="nil"/>
                <w:bottom w:val="nil"/>
                <w:right w:val="nil"/>
                <w:between w:val="nil"/>
              </w:pBdr>
              <w:spacing w:after="0" w:line="240" w:lineRule="auto"/>
              <w:ind w:left="173"/>
              <w:rPr>
                <w:color w:val="000000"/>
              </w:rPr>
            </w:pPr>
            <w:r>
              <w:rPr>
                <w:color w:val="000000"/>
              </w:rPr>
              <w:t xml:space="preserve">Fish Spawning </w:t>
            </w:r>
          </w:p>
          <w:p w14:paraId="5370799F" w14:textId="77777777" w:rsidR="008A388C" w:rsidRDefault="008A388C" w:rsidP="00797664">
            <w:pPr>
              <w:pBdr>
                <w:top w:val="nil"/>
                <w:left w:val="nil"/>
                <w:bottom w:val="nil"/>
                <w:right w:val="nil"/>
                <w:between w:val="nil"/>
              </w:pBdr>
              <w:spacing w:after="0" w:line="240" w:lineRule="auto"/>
              <w:ind w:left="173"/>
              <w:rPr>
                <w:color w:val="000000"/>
              </w:rPr>
            </w:pPr>
            <w:r>
              <w:rPr>
                <w:color w:val="000000"/>
              </w:rPr>
              <w:t xml:space="preserve">Warm Freshwater Habitat </w:t>
            </w:r>
          </w:p>
          <w:p w14:paraId="1CF6A347" w14:textId="77777777" w:rsidR="008A388C" w:rsidRDefault="008A388C" w:rsidP="00797664">
            <w:pPr>
              <w:pBdr>
                <w:top w:val="nil"/>
                <w:left w:val="nil"/>
                <w:bottom w:val="nil"/>
                <w:right w:val="nil"/>
                <w:between w:val="nil"/>
              </w:pBdr>
              <w:spacing w:after="0" w:line="240" w:lineRule="auto"/>
              <w:ind w:left="173"/>
              <w:rPr>
                <w:color w:val="000000"/>
              </w:rPr>
            </w:pPr>
            <w:r>
              <w:rPr>
                <w:color w:val="000000"/>
              </w:rPr>
              <w:t>Cultural Use</w:t>
            </w:r>
          </w:p>
        </w:tc>
        <w:tc>
          <w:tcPr>
            <w:tcW w:w="3600" w:type="dxa"/>
            <w:shd w:val="clear" w:color="auto" w:fill="auto"/>
          </w:tcPr>
          <w:p w14:paraId="3CE29E74" w14:textId="77777777" w:rsidR="008A388C" w:rsidRDefault="008A388C" w:rsidP="00797664">
            <w:pPr>
              <w:pBdr>
                <w:top w:val="nil"/>
                <w:left w:val="nil"/>
                <w:bottom w:val="nil"/>
                <w:right w:val="nil"/>
                <w:between w:val="nil"/>
              </w:pBdr>
              <w:spacing w:after="0" w:line="240" w:lineRule="auto"/>
              <w:ind w:left="173"/>
              <w:rPr>
                <w:color w:val="000000"/>
              </w:rPr>
            </w:pPr>
            <w:r>
              <w:rPr>
                <w:color w:val="000000"/>
              </w:rPr>
              <w:t xml:space="preserve">Preservation of Rare and Endangered Species </w:t>
            </w:r>
          </w:p>
          <w:p w14:paraId="5CE5A2CD" w14:textId="77777777" w:rsidR="008A388C" w:rsidRDefault="008A388C" w:rsidP="00797664">
            <w:pPr>
              <w:pBdr>
                <w:top w:val="nil"/>
                <w:left w:val="nil"/>
                <w:bottom w:val="nil"/>
                <w:right w:val="nil"/>
                <w:between w:val="nil"/>
              </w:pBdr>
              <w:spacing w:after="0" w:line="240" w:lineRule="auto"/>
              <w:ind w:left="173"/>
              <w:rPr>
                <w:color w:val="000000"/>
              </w:rPr>
            </w:pPr>
            <w:r>
              <w:rPr>
                <w:color w:val="000000"/>
              </w:rPr>
              <w:t xml:space="preserve">Water Contact Recreation </w:t>
            </w:r>
          </w:p>
          <w:p w14:paraId="70A38A6E" w14:textId="77777777" w:rsidR="008A388C" w:rsidRDefault="008A388C" w:rsidP="00797664">
            <w:pPr>
              <w:pBdr>
                <w:top w:val="nil"/>
                <w:left w:val="nil"/>
                <w:bottom w:val="nil"/>
                <w:right w:val="nil"/>
                <w:between w:val="nil"/>
              </w:pBdr>
              <w:spacing w:after="0" w:line="240" w:lineRule="auto"/>
              <w:ind w:left="173"/>
              <w:rPr>
                <w:color w:val="000000"/>
              </w:rPr>
            </w:pPr>
            <w:r>
              <w:rPr>
                <w:color w:val="000000"/>
              </w:rPr>
              <w:t xml:space="preserve">Non-contact Water Recreation </w:t>
            </w:r>
          </w:p>
          <w:p w14:paraId="4D0296BF" w14:textId="77777777" w:rsidR="008A388C" w:rsidRDefault="008A388C" w:rsidP="00797664">
            <w:pPr>
              <w:pBdr>
                <w:top w:val="nil"/>
                <w:left w:val="nil"/>
                <w:bottom w:val="nil"/>
                <w:right w:val="nil"/>
                <w:between w:val="nil"/>
              </w:pBdr>
              <w:spacing w:after="0" w:line="240" w:lineRule="auto"/>
              <w:ind w:left="173"/>
              <w:rPr>
                <w:color w:val="000000"/>
              </w:rPr>
            </w:pPr>
            <w:r>
              <w:rPr>
                <w:color w:val="000000"/>
              </w:rPr>
              <w:t>Estuarine Habitat</w:t>
            </w:r>
          </w:p>
          <w:p w14:paraId="775DEFBB" w14:textId="77777777" w:rsidR="008A388C" w:rsidRDefault="008A388C" w:rsidP="00797664">
            <w:pPr>
              <w:pBdr>
                <w:top w:val="nil"/>
                <w:left w:val="nil"/>
                <w:bottom w:val="nil"/>
                <w:right w:val="nil"/>
                <w:between w:val="nil"/>
              </w:pBdr>
              <w:spacing w:after="0" w:line="240" w:lineRule="auto"/>
              <w:ind w:left="173"/>
              <w:rPr>
                <w:color w:val="000000"/>
              </w:rPr>
            </w:pPr>
            <w:r>
              <w:rPr>
                <w:color w:val="000000"/>
              </w:rPr>
              <w:t xml:space="preserve">Warm Water Habitat </w:t>
            </w:r>
          </w:p>
          <w:p w14:paraId="69C2CAAC" w14:textId="77777777" w:rsidR="008A388C" w:rsidRDefault="008A388C" w:rsidP="00797664">
            <w:pPr>
              <w:pBdr>
                <w:top w:val="nil"/>
                <w:left w:val="nil"/>
                <w:bottom w:val="nil"/>
                <w:right w:val="nil"/>
                <w:between w:val="nil"/>
              </w:pBdr>
              <w:spacing w:after="0" w:line="240" w:lineRule="auto"/>
              <w:ind w:left="173"/>
              <w:rPr>
                <w:color w:val="000000"/>
              </w:rPr>
            </w:pPr>
            <w:r>
              <w:rPr>
                <w:color w:val="000000"/>
              </w:rPr>
              <w:t xml:space="preserve">Marine Habitat </w:t>
            </w:r>
          </w:p>
          <w:p w14:paraId="70E61E7E" w14:textId="77777777" w:rsidR="008A388C" w:rsidRDefault="008A388C" w:rsidP="00797664">
            <w:pPr>
              <w:pBdr>
                <w:top w:val="nil"/>
                <w:left w:val="nil"/>
                <w:bottom w:val="nil"/>
                <w:right w:val="nil"/>
                <w:between w:val="nil"/>
              </w:pBdr>
              <w:spacing w:after="0" w:line="240" w:lineRule="auto"/>
              <w:ind w:left="173"/>
              <w:rPr>
                <w:color w:val="000000"/>
              </w:rPr>
            </w:pPr>
            <w:r>
              <w:rPr>
                <w:color w:val="000000"/>
              </w:rPr>
              <w:t>Wildlife Habitat</w:t>
            </w:r>
          </w:p>
          <w:p w14:paraId="472CCB33" w14:textId="77777777" w:rsidR="008A388C" w:rsidRDefault="008A388C" w:rsidP="00797664">
            <w:pPr>
              <w:pBdr>
                <w:top w:val="nil"/>
                <w:left w:val="nil"/>
                <w:bottom w:val="nil"/>
                <w:right w:val="nil"/>
                <w:between w:val="nil"/>
              </w:pBdr>
              <w:spacing w:after="0" w:line="240" w:lineRule="auto"/>
              <w:ind w:left="173"/>
              <w:rPr>
                <w:color w:val="000000"/>
              </w:rPr>
            </w:pPr>
            <w:r>
              <w:rPr>
                <w:color w:val="000000"/>
              </w:rPr>
              <w:t>Tribal Use</w:t>
            </w:r>
          </w:p>
        </w:tc>
      </w:tr>
    </w:tbl>
    <w:p w14:paraId="6300AB33" w14:textId="77777777" w:rsidR="008A388C" w:rsidRDefault="008A388C" w:rsidP="008A388C">
      <w:pPr>
        <w:pBdr>
          <w:top w:val="nil"/>
          <w:left w:val="nil"/>
          <w:bottom w:val="nil"/>
          <w:right w:val="nil"/>
          <w:between w:val="nil"/>
        </w:pBdr>
        <w:jc w:val="both"/>
        <w:rPr>
          <w:color w:val="000000"/>
        </w:rPr>
      </w:pPr>
    </w:p>
    <w:p w14:paraId="2BB4BFFC" w14:textId="250A0638" w:rsidR="008A388C" w:rsidRDefault="008A388C" w:rsidP="008A388C">
      <w:pPr>
        <w:pBdr>
          <w:top w:val="nil"/>
          <w:left w:val="nil"/>
          <w:bottom w:val="nil"/>
          <w:right w:val="nil"/>
          <w:between w:val="nil"/>
        </w:pBdr>
        <w:ind w:firstLine="720"/>
        <w:jc w:val="both"/>
        <w:rPr>
          <w:color w:val="000000"/>
        </w:rPr>
      </w:pPr>
      <w:r>
        <w:rPr>
          <w:color w:val="000000"/>
        </w:rPr>
        <w:t xml:space="preserve">While all designated uses must be considered, some are more likely to be impaired by biostimulatory impacts than others, and water quality objectives must protect the most sensitive use of a waterbody.  For example, uses for industrial service supply, hydropower generation, and industrial process supply are not likely to be the most sensitive use impacted by biostimulatory substances in a waterbody.  Areas of Special Biological Significance and Preservation of Rare and Endangered Species would appear to require site-specific management plans.  For this reason, the remainder of this discussion focuses on some of the other designated uses that are both commonly considered to be sensitive to eutrophication.  These include but are not limited to: </w:t>
      </w:r>
      <w:r w:rsidR="003C1AD1">
        <w:rPr>
          <w:color w:val="000000"/>
        </w:rPr>
        <w:t xml:space="preserve">cold </w:t>
      </w:r>
      <w:r>
        <w:rPr>
          <w:color w:val="000000"/>
        </w:rPr>
        <w:t xml:space="preserve">and warm freshwater </w:t>
      </w:r>
      <w:r w:rsidR="003C1AD1">
        <w:rPr>
          <w:color w:val="000000"/>
        </w:rPr>
        <w:t xml:space="preserve">habitat </w:t>
      </w:r>
      <w:r>
        <w:rPr>
          <w:color w:val="000000"/>
        </w:rPr>
        <w:t xml:space="preserve">(COLD and WARM), estuarine and marine habitat (EST and MAR), </w:t>
      </w:r>
      <w:r w:rsidR="003C1AD1">
        <w:rPr>
          <w:color w:val="000000"/>
        </w:rPr>
        <w:t xml:space="preserve">fish </w:t>
      </w:r>
      <w:r>
        <w:rPr>
          <w:color w:val="000000"/>
        </w:rPr>
        <w:t xml:space="preserve">Migration and spawning (MIGR and SPWN), </w:t>
      </w:r>
      <w:r w:rsidR="003C1AD1">
        <w:rPr>
          <w:color w:val="000000"/>
        </w:rPr>
        <w:t xml:space="preserve">municipal </w:t>
      </w:r>
      <w:r>
        <w:rPr>
          <w:color w:val="000000"/>
        </w:rPr>
        <w:t xml:space="preserve">and </w:t>
      </w:r>
      <w:r w:rsidR="003C1AD1">
        <w:rPr>
          <w:color w:val="000000"/>
        </w:rPr>
        <w:t xml:space="preserve">domestic supply </w:t>
      </w:r>
      <w:r>
        <w:rPr>
          <w:color w:val="000000"/>
        </w:rPr>
        <w:t xml:space="preserve">(MUN), </w:t>
      </w:r>
      <w:r w:rsidR="003C1AD1">
        <w:rPr>
          <w:color w:val="000000"/>
        </w:rPr>
        <w:t xml:space="preserve">water contact recreation </w:t>
      </w:r>
      <w:r>
        <w:rPr>
          <w:color w:val="000000"/>
        </w:rPr>
        <w:t xml:space="preserve">(REC-1), </w:t>
      </w:r>
      <w:r w:rsidR="003C1AD1">
        <w:t>non contact</w:t>
      </w:r>
      <w:r w:rsidR="003C1AD1">
        <w:rPr>
          <w:color w:val="000000"/>
        </w:rPr>
        <w:t xml:space="preserve"> water recreation </w:t>
      </w:r>
      <w:r>
        <w:rPr>
          <w:color w:val="000000"/>
        </w:rPr>
        <w:t>(REC-2), commercial, aquaculture and shellfisheries (COMM, AQUA, and SHELL).</w:t>
      </w:r>
    </w:p>
    <w:p w14:paraId="5035F512" w14:textId="77777777" w:rsidR="008A388C" w:rsidRDefault="008A388C" w:rsidP="008A388C">
      <w:pPr>
        <w:pStyle w:val="Heading2"/>
        <w:spacing w:before="0" w:after="200" w:line="276" w:lineRule="auto"/>
      </w:pPr>
      <w:bookmarkStart w:id="46" w:name="_Toc525589895"/>
      <w:bookmarkStart w:id="47" w:name="_Toc525595047"/>
      <w:bookmarkStart w:id="48" w:name="_Toc526196683"/>
      <w:r>
        <w:t>2.3 Conceptual Models of Eutrophication Risk Pathways and Crosswalks to Response Indicators</w:t>
      </w:r>
      <w:bookmarkEnd w:id="46"/>
      <w:bookmarkEnd w:id="47"/>
      <w:bookmarkEnd w:id="48"/>
    </w:p>
    <w:p w14:paraId="41079B2A" w14:textId="3DAB4FBD" w:rsidR="008A388C" w:rsidRDefault="008A388C" w:rsidP="00B27A90">
      <w:bookmarkStart w:id="49" w:name="_Hlk526134103"/>
      <w:r>
        <w:t xml:space="preserve">A simple generic conceptual model of biostimulatory drivers, eutrophication response and waterbody ecological response to eutrophication can be described (Figure 2.1). </w:t>
      </w:r>
      <w:bookmarkEnd w:id="49"/>
      <w:r>
        <w:t xml:space="preserve">Here, biostimulatory drivers consist of nutrients (including nitrogen, phosphorus and associated organic matter) and conditions (e.g. hydromodification, physical habitat alteration, light regime, etc.) that can accelerate eutrophication. </w:t>
      </w:r>
    </w:p>
    <w:p w14:paraId="05CC5300" w14:textId="2B20BF4F" w:rsidR="00544D95" w:rsidRDefault="008A388C" w:rsidP="00B27A90">
      <w:r>
        <w:t xml:space="preserve">Most waterbodies, in their natural and minimally disturbed state, feature relatively low biomass, but high diversity of a mosaic of primary producers </w:t>
      </w:r>
      <w:bookmarkStart w:id="50" w:name="_Hlk526134146"/>
      <w:r>
        <w:t>(</w:t>
      </w:r>
      <w:r w:rsidRPr="00B27A90">
        <w:t xml:space="preserve">Paul et al. </w:t>
      </w:r>
      <w:r w:rsidR="002C46EB" w:rsidRPr="00B27A90">
        <w:t>in</w:t>
      </w:r>
      <w:r w:rsidR="002C46EB">
        <w:t xml:space="preserve"> prep</w:t>
      </w:r>
      <w:r>
        <w:t>),</w:t>
      </w:r>
      <w:bookmarkEnd w:id="50"/>
      <w:r>
        <w:t xml:space="preserve"> including benthic diatoms, soft-bodied algae (e.g.</w:t>
      </w:r>
      <w:r w:rsidR="003C1AD1">
        <w:t>,</w:t>
      </w:r>
      <w:r>
        <w:t xml:space="preserve"> macroalgae), submerged and emergent aquatic vegetation, and cyanobacteria, with a high percentage of pollution intolerant or rare taxa. In shallow waterbody types, good water clarity typically provides strong light penetration to the bottom, enhancing benthic over planktonic primary </w:t>
      </w:r>
      <w:r w:rsidRPr="00B27A90">
        <w:t>producers. In deep waters, planktonic algae thrive, again with high diversity but low overall biomass, except which is driven by season and interannual cycles in natural sources of nutrients (e.g.</w:t>
      </w:r>
      <w:r w:rsidR="003C1AD1">
        <w:t>,</w:t>
      </w:r>
      <w:r w:rsidRPr="00B27A90">
        <w:t xml:space="preserve"> upwelling, seasonal runoff). In these waters, dissolved organic nutrients dominate the nutrient pool, which are conserved and recycled through the activity of heterotrophic microbes (bacteria, archaea and fungi; Findlay 2010).  The diversity of habitats and food sources, with low ranges of natural stressors (nutrient forms, DO, pH, cyanotoxins</w:t>
      </w:r>
      <w:r>
        <w:t>), provide the basis for a complex matrix of community of primary producers, primary consumers (herbivores) and predators.</w:t>
      </w:r>
    </w:p>
    <w:p w14:paraId="19AEE81A" w14:textId="660AEB1C" w:rsidR="00544D95" w:rsidRDefault="00544D95" w:rsidP="00544D95">
      <w:pPr>
        <w:ind w:firstLine="720"/>
      </w:pPr>
    </w:p>
    <w:p w14:paraId="4BEA7DD1" w14:textId="7DE9A34C" w:rsidR="00544D95" w:rsidRDefault="00544D95" w:rsidP="00544D95">
      <w:pPr>
        <w:ind w:firstLine="720"/>
      </w:pPr>
    </w:p>
    <w:p w14:paraId="072A9BCA" w14:textId="77777777" w:rsidR="00544D95" w:rsidRDefault="00544D95" w:rsidP="00544D95">
      <w:pPr>
        <w:ind w:firstLine="720"/>
      </w:pPr>
    </w:p>
    <w:p w14:paraId="22EBA40D" w14:textId="77777777" w:rsidR="00544D95" w:rsidRDefault="00544D95" w:rsidP="008A388C">
      <w:pPr>
        <w:ind w:firstLine="720"/>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80"/>
        <w:gridCol w:w="4680"/>
      </w:tblGrid>
      <w:tr w:rsidR="00A952B4" w14:paraId="258795B0" w14:textId="77777777" w:rsidTr="00D509BA">
        <w:trPr>
          <w:trHeight w:val="3744"/>
          <w:jc w:val="center"/>
        </w:trPr>
        <w:tc>
          <w:tcPr>
            <w:tcW w:w="4680" w:type="dxa"/>
          </w:tcPr>
          <w:p w14:paraId="45513D54" w14:textId="5379D8DB" w:rsidR="00544D95" w:rsidRDefault="00A952B4" w:rsidP="007245F5">
            <w:r>
              <w:rPr>
                <w:noProof/>
                <w:lang w:eastAsia="zh-CN" w:bidi="ar-SA"/>
              </w:rPr>
              <w:drawing>
                <wp:inline distT="0" distB="0" distL="0" distR="0" wp14:anchorId="23249E86" wp14:editId="113755E2">
                  <wp:extent cx="2886075" cy="2917825"/>
                  <wp:effectExtent l="0" t="0" r="9525" b="0"/>
                  <wp:docPr id="1033" name="Picture 1033" descr="Photo by Carson Jeffres/UC Dav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hoto by Carson Jeffres/UC Davis"/>
                          <pic:cNvPicPr>
                            <a:picLocks noChangeAspect="1" noChangeArrowheads="1"/>
                          </pic:cNvPicPr>
                        </pic:nvPicPr>
                        <pic:blipFill rotWithShape="1">
                          <a:blip r:embed="rId23">
                            <a:extLst>
                              <a:ext uri="{28A0092B-C50C-407E-A947-70E740481C1C}">
                                <a14:useLocalDpi xmlns:a14="http://schemas.microsoft.com/office/drawing/2010/main" val="0"/>
                              </a:ext>
                            </a:extLst>
                          </a:blip>
                          <a:srcRect l="14888" r="6719"/>
                          <a:stretch/>
                        </pic:blipFill>
                        <pic:spPr bwMode="auto">
                          <a:xfrm>
                            <a:off x="0" y="0"/>
                            <a:ext cx="2909744" cy="294175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80" w:type="dxa"/>
          </w:tcPr>
          <w:p w14:paraId="58AAA4F8" w14:textId="6E729989" w:rsidR="00544D95" w:rsidRDefault="006E3E25" w:rsidP="007245F5">
            <w:r>
              <w:rPr>
                <w:noProof/>
                <w:lang w:eastAsia="zh-CN" w:bidi="ar-SA"/>
              </w:rPr>
              <w:drawing>
                <wp:anchor distT="0" distB="0" distL="114300" distR="114300" simplePos="0" relativeHeight="251659264" behindDoc="1" locked="0" layoutInCell="1" allowOverlap="1" wp14:anchorId="379125D4" wp14:editId="4026C207">
                  <wp:simplePos x="0" y="0"/>
                  <wp:positionH relativeFrom="column">
                    <wp:posOffset>-1905</wp:posOffset>
                  </wp:positionH>
                  <wp:positionV relativeFrom="paragraph">
                    <wp:posOffset>38100</wp:posOffset>
                  </wp:positionV>
                  <wp:extent cx="2895600" cy="2857500"/>
                  <wp:effectExtent l="0" t="0" r="0" b="0"/>
                  <wp:wrapTight wrapText="bothSides">
                    <wp:wrapPolygon edited="0">
                      <wp:start x="0" y="0"/>
                      <wp:lineTo x="0" y="21456"/>
                      <wp:lineTo x="21458" y="21456"/>
                      <wp:lineTo x="21458" y="0"/>
                      <wp:lineTo x="0" y="0"/>
                    </wp:wrapPolygon>
                  </wp:wrapTight>
                  <wp:docPr id="1036" name="Picture 1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extLst>
                              <a:ext uri="{28A0092B-C50C-407E-A947-70E740481C1C}">
                                <a14:useLocalDpi xmlns:a14="http://schemas.microsoft.com/office/drawing/2010/main" val="0"/>
                              </a:ext>
                            </a:extLst>
                          </a:blip>
                          <a:srcRect l="24048"/>
                          <a:stretch/>
                        </pic:blipFill>
                        <pic:spPr bwMode="auto">
                          <a:xfrm>
                            <a:off x="0" y="0"/>
                            <a:ext cx="2895600" cy="28575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A952B4" w14:paraId="0B918530" w14:textId="77777777" w:rsidTr="00D509BA">
        <w:trPr>
          <w:trHeight w:val="3924"/>
          <w:jc w:val="center"/>
        </w:trPr>
        <w:tc>
          <w:tcPr>
            <w:tcW w:w="4680" w:type="dxa"/>
          </w:tcPr>
          <w:p w14:paraId="5D864160" w14:textId="1A2FC5C9" w:rsidR="00544D95" w:rsidRDefault="006E1CC4" w:rsidP="007245F5">
            <w:r>
              <w:rPr>
                <w:noProof/>
                <w:lang w:eastAsia="zh-CN" w:bidi="ar-SA"/>
              </w:rPr>
              <w:drawing>
                <wp:inline distT="0" distB="0" distL="0" distR="0" wp14:anchorId="769C9077" wp14:editId="1AC7A70E">
                  <wp:extent cx="3033116" cy="2566987"/>
                  <wp:effectExtent l="0" t="0" r="0" b="5080"/>
                  <wp:docPr id="1032" name="Picture 1032" descr="Image result for lake m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lake mary"/>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036262" cy="2569649"/>
                          </a:xfrm>
                          <a:prstGeom prst="rect">
                            <a:avLst/>
                          </a:prstGeom>
                          <a:noFill/>
                          <a:ln>
                            <a:noFill/>
                          </a:ln>
                        </pic:spPr>
                      </pic:pic>
                    </a:graphicData>
                  </a:graphic>
                </wp:inline>
              </w:drawing>
            </w:r>
          </w:p>
        </w:tc>
        <w:tc>
          <w:tcPr>
            <w:tcW w:w="4680" w:type="dxa"/>
          </w:tcPr>
          <w:p w14:paraId="0286E1CF" w14:textId="3D790AFD" w:rsidR="00544D95" w:rsidRDefault="00D509BA" w:rsidP="007245F5">
            <w:r>
              <w:rPr>
                <w:noProof/>
                <w:lang w:eastAsia="zh-CN" w:bidi="ar-SA"/>
              </w:rPr>
              <w:drawing>
                <wp:anchor distT="0" distB="0" distL="114300" distR="114300" simplePos="0" relativeHeight="251660288" behindDoc="1" locked="0" layoutInCell="1" allowOverlap="1" wp14:anchorId="4184083C" wp14:editId="2EDD401B">
                  <wp:simplePos x="0" y="0"/>
                  <wp:positionH relativeFrom="column">
                    <wp:posOffset>-68580</wp:posOffset>
                  </wp:positionH>
                  <wp:positionV relativeFrom="paragraph">
                    <wp:posOffset>1905</wp:posOffset>
                  </wp:positionV>
                  <wp:extent cx="2918460" cy="2528570"/>
                  <wp:effectExtent l="0" t="0" r="0" b="5080"/>
                  <wp:wrapTight wrapText="bothSides">
                    <wp:wrapPolygon edited="0">
                      <wp:start x="0" y="0"/>
                      <wp:lineTo x="0" y="21481"/>
                      <wp:lineTo x="21431" y="21481"/>
                      <wp:lineTo x="21431" y="0"/>
                      <wp:lineTo x="0" y="0"/>
                    </wp:wrapPolygon>
                  </wp:wrapTight>
                  <wp:docPr id="5" name="Picture 5" descr="Image result for seagrass in tomales b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seagrass in tomales bay"/>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918460" cy="2528570"/>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14:paraId="0122DC89" w14:textId="499B6026" w:rsidR="00544D95" w:rsidRDefault="00544D95" w:rsidP="00544D95">
      <w:pPr>
        <w:pStyle w:val="TOF"/>
      </w:pPr>
      <w:bookmarkStart w:id="51" w:name="_Toc526197075"/>
      <w:r>
        <w:t xml:space="preserve">Figure </w:t>
      </w:r>
      <w:r w:rsidR="00A44049">
        <w:t xml:space="preserve">2.2. </w:t>
      </w:r>
      <w:r w:rsidR="00A952B4">
        <w:t xml:space="preserve">Examples of aquatic habitat types with mosaics of different primary producers including from top left clockwise (a) </w:t>
      </w:r>
      <w:r w:rsidR="00A952B4" w:rsidRPr="00A952B4">
        <w:t xml:space="preserve">Chinook salmon </w:t>
      </w:r>
      <w:r w:rsidR="00A952B4">
        <w:t xml:space="preserve">admidst submerged aquatic vegetation </w:t>
      </w:r>
      <w:r w:rsidR="00A952B4" w:rsidRPr="00A952B4">
        <w:t>in Big Springs Creek. Photo by Carson Jeffres/UC Davis, 2012</w:t>
      </w:r>
      <w:r w:rsidR="00A952B4">
        <w:t xml:space="preserve"> (b)</w:t>
      </w:r>
      <w:r w:rsidR="00D509BA" w:rsidRPr="00D509BA">
        <w:t xml:space="preserve"> </w:t>
      </w:r>
      <w:r w:rsidR="00D509BA">
        <w:t xml:space="preserve">periphyton in </w:t>
      </w:r>
      <w:r w:rsidR="00D509BA" w:rsidRPr="00D509BA">
        <w:t>Antelope Creek</w:t>
      </w:r>
      <w:r w:rsidR="00D509BA">
        <w:t xml:space="preserve"> (photo credit casalmon.org)</w:t>
      </w:r>
      <w:r w:rsidR="00A952B4">
        <w:t xml:space="preserve"> (c) seagrass and macroalgae in Tomales Bay (National Park Service Photo</w:t>
      </w:r>
      <w:r w:rsidR="006E3E25">
        <w:t>) and (d) Emerald Lake showing benthic algae and phytoplankton (by Martha Sutula).</w:t>
      </w:r>
      <w:bookmarkEnd w:id="51"/>
      <w:r w:rsidR="006E3E25">
        <w:t xml:space="preserve"> </w:t>
      </w:r>
    </w:p>
    <w:p w14:paraId="5DF7FF9F" w14:textId="77777777" w:rsidR="00544D95" w:rsidRDefault="00544D95" w:rsidP="00544D95">
      <w:pPr>
        <w:pStyle w:val="TOF"/>
      </w:pPr>
    </w:p>
    <w:p w14:paraId="1B1E46EB" w14:textId="77777777" w:rsidR="008A388C" w:rsidRDefault="008A388C" w:rsidP="008A388C">
      <w:pPr>
        <w:ind w:firstLine="720"/>
      </w:pPr>
      <w:r>
        <w:t>With watershed development, a series of factors change the range of natural variation in nutrients, light, temperature, and substrate (</w:t>
      </w:r>
      <w:r w:rsidRPr="00BB2999">
        <w:t>Hynes 1970, Cushing and Allan 2001, Delong and Brusven 1992, Miltner and Rankin 1998</w:t>
      </w:r>
      <w:r>
        <w:t xml:space="preserve">). Nutrient inputs are increased, changing the concentrations and ratios of nitrogen, phosphorus and silica, as well as micronutrients and trace elements and increasing the percentage of bioavailable nitrate, ammonium and phosphate relative to dissolved organic forms. Loss of floodplain habitat and riparian corridors increases light availability and increases temperature, a condition that is heightened as streams are armored to optimize the channel for flood control. Watershed development also reduced to changes in the flow and sedimentation, including increased reduced or increased discharge, altered retention time, decreased scour, and changes in substrate (including increased embeddedness of cobbles and pebbles with fine grained sediments). In some landscapes, turbidity increases, decreasing light penetration to the bottom. Invasive organisms can proliferate, in some cases reducing pressure from grazers that can exert a top down control on primary producer biomass. Physical habitat is degraded, by downcutting (streams), dredging, diking and filling (lakes, estuarine and enclosed bays), which modifies hydrology, mixing, residence time and stratification. </w:t>
      </w:r>
    </w:p>
    <w:p w14:paraId="73936BCD" w14:textId="22580D8C" w:rsidR="008A388C" w:rsidRDefault="008A388C" w:rsidP="00D509BA">
      <w:pPr>
        <w:tabs>
          <w:tab w:val="left" w:pos="0"/>
        </w:tabs>
        <w:jc w:val="both"/>
      </w:pPr>
      <w:r>
        <w:t>These biostimulatory substances (nutrient pollution) and biostimulatory conditions (alterations in environmental factors, e.g.</w:t>
      </w:r>
      <w:r w:rsidR="003C1AD1">
        <w:t>,</w:t>
      </w:r>
      <w:r>
        <w:t xml:space="preserve"> hydromodification, altered light and temperature regime, changes to physical habitat) can result in changes to the ecosystem (eutrophication response) via (Figure 2.1): </w:t>
      </w:r>
    </w:p>
    <w:p w14:paraId="799B8DC8" w14:textId="77777777" w:rsidR="008A388C" w:rsidRDefault="008A388C" w:rsidP="00783E18">
      <w:pPr>
        <w:numPr>
          <w:ilvl w:val="0"/>
          <w:numId w:val="24"/>
        </w:numPr>
      </w:pPr>
      <w:r>
        <w:t xml:space="preserve">Changes to aquatic autotrophs (primary producers) and heterotrophs, </w:t>
      </w:r>
    </w:p>
    <w:p w14:paraId="5F9B2AAA" w14:textId="77777777" w:rsidR="008A388C" w:rsidRDefault="008A388C" w:rsidP="00783E18">
      <w:pPr>
        <w:numPr>
          <w:ilvl w:val="0"/>
          <w:numId w:val="24"/>
        </w:numPr>
      </w:pPr>
      <w:r>
        <w:t>Altered physical habitat, water and sediment biogeochemistry,</w:t>
      </w:r>
    </w:p>
    <w:p w14:paraId="5EC0A315" w14:textId="77777777" w:rsidR="008A388C" w:rsidRDefault="008A388C" w:rsidP="00783E18">
      <w:pPr>
        <w:numPr>
          <w:ilvl w:val="0"/>
          <w:numId w:val="24"/>
        </w:numPr>
        <w:pBdr>
          <w:top w:val="nil"/>
          <w:left w:val="nil"/>
          <w:bottom w:val="nil"/>
          <w:right w:val="nil"/>
          <w:between w:val="nil"/>
        </w:pBdr>
        <w:contextualSpacing/>
        <w:jc w:val="both"/>
      </w:pPr>
      <w:r>
        <w:rPr>
          <w:color w:val="000000"/>
        </w:rPr>
        <w:t>Altered community structure of secondary (invertebrates) and tertiary consumers (fish, birds, mammals)</w:t>
      </w:r>
    </w:p>
    <w:p w14:paraId="7B41DD52" w14:textId="77777777" w:rsidR="00DF5E35" w:rsidRDefault="00DF5E35" w:rsidP="008A388C">
      <w:pPr>
        <w:ind w:firstLine="720"/>
      </w:pPr>
    </w:p>
    <w:p w14:paraId="1F3D48FA" w14:textId="1099E70F" w:rsidR="008A388C" w:rsidRDefault="008A388C" w:rsidP="00D509BA">
      <w:r>
        <w:t xml:space="preserve">This cascade of effects has a direct effect on the ecosystem functions, services and beneficial uses that wadeable streams provide (Table 2.1), including: </w:t>
      </w:r>
    </w:p>
    <w:p w14:paraId="0D256B53" w14:textId="77777777" w:rsidR="008A388C" w:rsidRDefault="008A388C" w:rsidP="00783E18">
      <w:pPr>
        <w:numPr>
          <w:ilvl w:val="0"/>
          <w:numId w:val="23"/>
        </w:numPr>
        <w:ind w:left="763"/>
      </w:pPr>
      <w:r>
        <w:t xml:space="preserve">Reduced habitat for and direct impacts to aquatic life (including WARM, COLD, WILD) </w:t>
      </w:r>
    </w:p>
    <w:p w14:paraId="6F931415" w14:textId="77777777" w:rsidR="008A388C" w:rsidRDefault="008A388C" w:rsidP="00783E18">
      <w:pPr>
        <w:numPr>
          <w:ilvl w:val="0"/>
          <w:numId w:val="23"/>
        </w:numPr>
        <w:ind w:left="763"/>
      </w:pPr>
      <w:r>
        <w:t xml:space="preserve">Reduced protection of biodiversity including rare, threatened and endangered species and migratory and spawning habitat (RARE, SPWN, MIGR) </w:t>
      </w:r>
    </w:p>
    <w:p w14:paraId="78766E06" w14:textId="77777777" w:rsidR="008A388C" w:rsidRDefault="008A388C" w:rsidP="00783E18">
      <w:pPr>
        <w:numPr>
          <w:ilvl w:val="0"/>
          <w:numId w:val="23"/>
        </w:numPr>
        <w:ind w:left="763"/>
      </w:pPr>
      <w:r>
        <w:t>Toxic contamination of and declines in productivity of commercial and recreational fisheries (SHELL, COMM, AQUA).</w:t>
      </w:r>
    </w:p>
    <w:p w14:paraId="7267DAE1" w14:textId="77777777" w:rsidR="008A388C" w:rsidRDefault="008A388C" w:rsidP="00783E18">
      <w:pPr>
        <w:numPr>
          <w:ilvl w:val="0"/>
          <w:numId w:val="23"/>
        </w:numPr>
        <w:ind w:left="763"/>
      </w:pPr>
      <w:r>
        <w:t>Poor visual aesthetics and increased odors (REC2)</w:t>
      </w:r>
    </w:p>
    <w:p w14:paraId="1544EFF0" w14:textId="77777777" w:rsidR="008A388C" w:rsidRDefault="008A388C" w:rsidP="00783E18">
      <w:pPr>
        <w:numPr>
          <w:ilvl w:val="0"/>
          <w:numId w:val="23"/>
        </w:numPr>
        <w:pBdr>
          <w:top w:val="nil"/>
          <w:left w:val="nil"/>
          <w:bottom w:val="nil"/>
          <w:right w:val="nil"/>
          <w:between w:val="nil"/>
        </w:pBdr>
        <w:contextualSpacing/>
      </w:pPr>
      <w:r>
        <w:rPr>
          <w:color w:val="000000"/>
        </w:rPr>
        <w:t xml:space="preserve">Maintenance of good water quality (MUN, REC1, COMM, AQUA, SHELL) </w:t>
      </w:r>
    </w:p>
    <w:p w14:paraId="052F1F40" w14:textId="77777777" w:rsidR="00D509BA" w:rsidRDefault="00D509BA" w:rsidP="008A388C">
      <w:pPr>
        <w:ind w:firstLine="720"/>
      </w:pPr>
    </w:p>
    <w:p w14:paraId="10B589F4" w14:textId="235DAEF9" w:rsidR="008A388C" w:rsidRDefault="008A388C" w:rsidP="00D509BA">
      <w:r>
        <w:t>In general, the major impairment pathways by which biostimulatory substances can impact uses constitute a suite of risk hypotheses. Different simple conceptual models of ecological response to eutrophication can be described, depending on whether there is a need to emphasize stressor (e.g.</w:t>
      </w:r>
      <w:r w:rsidR="003C1AD1">
        <w:t>,</w:t>
      </w:r>
      <w:r>
        <w:t xml:space="preserve"> nutrient, hydromodification, altered light regime) or pathway of impairment, or linkage to beneficial use. Given the complexity of the conceptual models, there are many individual pathways or risk hypotheses to consider. The conceptual models may be reduced to a table showing risk pathways that are most likely to impair the use, as shown in Table 2.2 (top row).  The conceptual models and sensitive risk pathways, described in more details in Section 2.3.1–2.3.3, form the basis for selection of appropriate response indicators and their corresponding assessment endpoints. They also form the basis for key assumptions in the linkage of the response endpoints to biostimulatory targets (e.g.</w:t>
      </w:r>
      <w:r w:rsidR="003C1AD1">
        <w:t>,</w:t>
      </w:r>
      <w:r>
        <w:t xml:space="preserve"> nutrient inputs).  </w:t>
      </w:r>
    </w:p>
    <w:p w14:paraId="1BE6E12D" w14:textId="42E9212F" w:rsidR="008A388C" w:rsidRPr="00D509BA" w:rsidRDefault="008A388C" w:rsidP="00D509BA">
      <w:pPr>
        <w:pBdr>
          <w:top w:val="nil"/>
          <w:left w:val="nil"/>
          <w:bottom w:val="nil"/>
          <w:right w:val="nil"/>
          <w:between w:val="nil"/>
        </w:pBdr>
        <w:jc w:val="both"/>
        <w:rPr>
          <w:color w:val="000000"/>
        </w:rPr>
      </w:pPr>
      <w:r>
        <w:rPr>
          <w:color w:val="000000"/>
        </w:rPr>
        <w:t>A generic set of common response indicators, linked to pathways identified in Table 2.2, are summarized in Table 2.3. We note that the list in Table 2.3 is not comprehensive; other indicators of eutrophication (e.g. respiration rate, denitrification rates, etc.), used in peer-reviewed special studies or research, can also be the basis for</w:t>
      </w:r>
      <w:r w:rsidR="00D509BA">
        <w:rPr>
          <w:color w:val="000000"/>
        </w:rPr>
        <w:t xml:space="preserve"> diagnosis of eutrophication.  </w:t>
      </w:r>
    </w:p>
    <w:p w14:paraId="03594502" w14:textId="77777777" w:rsidR="008A388C" w:rsidRDefault="008A388C" w:rsidP="008A388C">
      <w:pPr>
        <w:widowControl w:val="0"/>
        <w:pBdr>
          <w:top w:val="nil"/>
          <w:left w:val="nil"/>
          <w:bottom w:val="nil"/>
          <w:right w:val="nil"/>
          <w:between w:val="nil"/>
        </w:pBdr>
        <w:spacing w:after="0"/>
        <w:sectPr w:rsidR="008A388C">
          <w:type w:val="continuous"/>
          <w:pgSz w:w="12240" w:h="15840"/>
          <w:pgMar w:top="1440" w:right="1440" w:bottom="1440" w:left="1440" w:header="0" w:footer="0" w:gutter="0"/>
          <w:cols w:space="720"/>
        </w:sectPr>
      </w:pPr>
      <w:r>
        <w:rPr>
          <w:noProof/>
          <w:lang w:eastAsia="zh-CN" w:bidi="ar-SA"/>
        </w:rPr>
        <w:drawing>
          <wp:inline distT="114300" distB="114300" distL="114300" distR="114300" wp14:anchorId="568ABB7D" wp14:editId="1AB073E9">
            <wp:extent cx="5881688" cy="3848100"/>
            <wp:effectExtent l="0" t="0" r="5080" b="0"/>
            <wp:docPr id="11"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7"/>
                    <a:srcRect/>
                    <a:stretch>
                      <a:fillRect/>
                    </a:stretch>
                  </pic:blipFill>
                  <pic:spPr>
                    <a:xfrm>
                      <a:off x="0" y="0"/>
                      <a:ext cx="5887623" cy="3851983"/>
                    </a:xfrm>
                    <a:prstGeom prst="rect">
                      <a:avLst/>
                    </a:prstGeom>
                    <a:ln/>
                  </pic:spPr>
                </pic:pic>
              </a:graphicData>
            </a:graphic>
          </wp:inline>
        </w:drawing>
      </w:r>
    </w:p>
    <w:p w14:paraId="12B9000C" w14:textId="280783B3" w:rsidR="008A388C" w:rsidRPr="000C0514" w:rsidRDefault="008A388C" w:rsidP="008A388C">
      <w:pPr>
        <w:pBdr>
          <w:top w:val="nil"/>
          <w:left w:val="nil"/>
          <w:bottom w:val="nil"/>
          <w:right w:val="nil"/>
          <w:between w:val="nil"/>
        </w:pBdr>
        <w:tabs>
          <w:tab w:val="right" w:pos="9350"/>
        </w:tabs>
        <w:spacing w:after="100" w:line="240" w:lineRule="auto"/>
        <w:rPr>
          <w:rFonts w:ascii="Arial" w:eastAsia="Arial" w:hAnsi="Arial" w:cs="Arial"/>
          <w:i/>
          <w:color w:val="000000"/>
          <w:sz w:val="20"/>
          <w:szCs w:val="20"/>
        </w:rPr>
      </w:pPr>
      <w:bookmarkStart w:id="52" w:name="_Toc526197076"/>
      <w:r w:rsidRPr="000C0514">
        <w:rPr>
          <w:rStyle w:val="TOFChar"/>
          <w:rFonts w:eastAsia="Arial"/>
          <w:b w:val="0"/>
        </w:rPr>
        <w:t>Figure 2.</w:t>
      </w:r>
      <w:r w:rsidR="00A44049">
        <w:rPr>
          <w:rStyle w:val="TOFChar"/>
          <w:rFonts w:eastAsia="Arial"/>
          <w:b w:val="0"/>
        </w:rPr>
        <w:t>3</w:t>
      </w:r>
      <w:r w:rsidRPr="000C0514">
        <w:rPr>
          <w:rStyle w:val="TOFChar"/>
          <w:rFonts w:eastAsia="Arial"/>
          <w:b w:val="0"/>
        </w:rPr>
        <w:t>. Example of simplified conceptual model for pathways in which nutrients and other biostimulatory conditions result in adverse ecosystem responses, which impact ecosystem services and impair beneficial uses in water bodies</w:t>
      </w:r>
      <w:bookmarkEnd w:id="52"/>
      <w:r w:rsidRPr="000C0514">
        <w:rPr>
          <w:rFonts w:ascii="Arial" w:eastAsia="Arial" w:hAnsi="Arial" w:cs="Arial"/>
          <w:i/>
          <w:sz w:val="20"/>
          <w:szCs w:val="20"/>
        </w:rPr>
        <w:t>.</w:t>
      </w:r>
    </w:p>
    <w:p w14:paraId="5E43872D" w14:textId="77777777" w:rsidR="008A388C" w:rsidRPr="000C0514" w:rsidRDefault="008A388C" w:rsidP="008A388C">
      <w:pPr>
        <w:spacing w:after="120"/>
        <w:jc w:val="both"/>
      </w:pPr>
    </w:p>
    <w:p w14:paraId="5FA5B9BD" w14:textId="35AD9521" w:rsidR="008A388C" w:rsidRDefault="008A388C" w:rsidP="008A388C">
      <w:pPr>
        <w:pStyle w:val="TOT"/>
        <w:rPr>
          <w:rFonts w:eastAsia="Arial"/>
        </w:rPr>
      </w:pPr>
      <w:bookmarkStart w:id="53" w:name="_3j2qqm3" w:colFirst="0" w:colLast="0"/>
      <w:bookmarkStart w:id="54" w:name="_Toc526428309"/>
      <w:bookmarkEnd w:id="53"/>
      <w:r>
        <w:rPr>
          <w:rFonts w:eastAsia="Arial"/>
        </w:rPr>
        <w:t>Table 2.2. Most Important Risk Pathways Associated with Impairment of Sensitive Uses by Nutrient Pollution and Eutrophication. Aquatic life-related uses, ALU, are grouped to include: EST, MAR, COLD, WARM, MIGR, RARE, and SPWN beneficial uses. Birds, amphibian and terrestrial wildlife are represented under WILD, MIGR, and RARE. Poor water quality is linked to human or aquatic/wildlife uses.</w:t>
      </w:r>
      <w:bookmarkEnd w:id="54"/>
      <w:r>
        <w:rPr>
          <w:rFonts w:eastAsia="Arial"/>
        </w:rPr>
        <w:t xml:space="preserve"> </w:t>
      </w:r>
    </w:p>
    <w:tbl>
      <w:tblPr>
        <w:tblW w:w="9540" w:type="dxa"/>
        <w:jc w:val="center"/>
        <w:tblBorders>
          <w:top w:val="single" w:sz="12" w:space="0" w:color="000000"/>
          <w:bottom w:val="single" w:sz="12" w:space="0" w:color="000000"/>
        </w:tblBorders>
        <w:tblLayout w:type="fixed"/>
        <w:tblCellMar>
          <w:top w:w="14" w:type="dxa"/>
          <w:left w:w="72" w:type="dxa"/>
          <w:bottom w:w="14" w:type="dxa"/>
          <w:right w:w="72" w:type="dxa"/>
        </w:tblCellMar>
        <w:tblLook w:val="0000" w:firstRow="0" w:lastRow="0" w:firstColumn="0" w:lastColumn="0" w:noHBand="0" w:noVBand="0"/>
      </w:tblPr>
      <w:tblGrid>
        <w:gridCol w:w="1980"/>
        <w:gridCol w:w="1170"/>
        <w:gridCol w:w="1390"/>
        <w:gridCol w:w="1220"/>
        <w:gridCol w:w="1260"/>
        <w:gridCol w:w="1390"/>
        <w:gridCol w:w="1130"/>
      </w:tblGrid>
      <w:tr w:rsidR="008A388C" w14:paraId="189D9C93" w14:textId="77777777" w:rsidTr="00797664">
        <w:trPr>
          <w:jc w:val="center"/>
        </w:trPr>
        <w:tc>
          <w:tcPr>
            <w:tcW w:w="1980" w:type="dxa"/>
            <w:tcBorders>
              <w:top w:val="single" w:sz="4" w:space="0" w:color="000000"/>
              <w:bottom w:val="single" w:sz="4" w:space="0" w:color="000000"/>
            </w:tcBorders>
            <w:shd w:val="clear" w:color="auto" w:fill="auto"/>
            <w:vAlign w:val="center"/>
          </w:tcPr>
          <w:p w14:paraId="73D3732E" w14:textId="77777777" w:rsidR="008A388C" w:rsidRDefault="008A388C" w:rsidP="00797664">
            <w:pPr>
              <w:pBdr>
                <w:top w:val="nil"/>
                <w:left w:val="nil"/>
                <w:bottom w:val="nil"/>
                <w:right w:val="nil"/>
                <w:between w:val="nil"/>
              </w:pBdr>
              <w:spacing w:before="60" w:after="60" w:line="240" w:lineRule="auto"/>
              <w:jc w:val="center"/>
              <w:rPr>
                <w:rFonts w:ascii="Arial" w:eastAsia="Arial" w:hAnsi="Arial" w:cs="Arial"/>
                <w:b/>
                <w:color w:val="000000"/>
                <w:sz w:val="18"/>
                <w:szCs w:val="18"/>
              </w:rPr>
            </w:pPr>
            <w:r>
              <w:rPr>
                <w:rFonts w:ascii="Arial" w:eastAsia="Arial" w:hAnsi="Arial" w:cs="Arial"/>
                <w:b/>
                <w:color w:val="000000"/>
                <w:sz w:val="18"/>
                <w:szCs w:val="18"/>
              </w:rPr>
              <w:t>Use</w:t>
            </w:r>
          </w:p>
        </w:tc>
        <w:tc>
          <w:tcPr>
            <w:tcW w:w="1170" w:type="dxa"/>
            <w:tcBorders>
              <w:top w:val="single" w:sz="4" w:space="0" w:color="000000"/>
              <w:bottom w:val="single" w:sz="4" w:space="0" w:color="000000"/>
            </w:tcBorders>
            <w:shd w:val="clear" w:color="auto" w:fill="auto"/>
            <w:tcMar>
              <w:left w:w="43" w:type="dxa"/>
              <w:right w:w="43" w:type="dxa"/>
            </w:tcMar>
            <w:vAlign w:val="center"/>
          </w:tcPr>
          <w:p w14:paraId="11F69EA7" w14:textId="77777777" w:rsidR="008A388C" w:rsidRDefault="008A388C" w:rsidP="00797664">
            <w:pPr>
              <w:pBdr>
                <w:top w:val="nil"/>
                <w:left w:val="nil"/>
                <w:bottom w:val="nil"/>
                <w:right w:val="nil"/>
                <w:between w:val="nil"/>
              </w:pBdr>
              <w:spacing w:before="60" w:after="60" w:line="240" w:lineRule="auto"/>
              <w:jc w:val="center"/>
              <w:rPr>
                <w:rFonts w:ascii="Arial" w:eastAsia="Arial" w:hAnsi="Arial" w:cs="Arial"/>
                <w:b/>
                <w:color w:val="000000"/>
                <w:sz w:val="18"/>
                <w:szCs w:val="18"/>
              </w:rPr>
            </w:pPr>
            <w:r>
              <w:rPr>
                <w:rFonts w:ascii="Arial" w:eastAsia="Arial" w:hAnsi="Arial" w:cs="Arial"/>
                <w:b/>
                <w:color w:val="000000"/>
                <w:sz w:val="18"/>
                <w:szCs w:val="18"/>
              </w:rPr>
              <w:t>Altered Aquatic Life</w:t>
            </w:r>
          </w:p>
        </w:tc>
        <w:tc>
          <w:tcPr>
            <w:tcW w:w="1390" w:type="dxa"/>
            <w:tcBorders>
              <w:top w:val="single" w:sz="4" w:space="0" w:color="000000"/>
              <w:bottom w:val="single" w:sz="4" w:space="0" w:color="000000"/>
            </w:tcBorders>
            <w:shd w:val="clear" w:color="auto" w:fill="auto"/>
            <w:tcMar>
              <w:left w:w="43" w:type="dxa"/>
              <w:right w:w="43" w:type="dxa"/>
            </w:tcMar>
            <w:vAlign w:val="center"/>
          </w:tcPr>
          <w:p w14:paraId="3D3138B8" w14:textId="77777777" w:rsidR="008A388C" w:rsidRDefault="008A388C" w:rsidP="00797664">
            <w:pPr>
              <w:pBdr>
                <w:top w:val="nil"/>
                <w:left w:val="nil"/>
                <w:bottom w:val="nil"/>
                <w:right w:val="nil"/>
                <w:between w:val="nil"/>
              </w:pBdr>
              <w:spacing w:before="60" w:after="60" w:line="240" w:lineRule="auto"/>
              <w:jc w:val="center"/>
              <w:rPr>
                <w:rFonts w:ascii="Arial" w:eastAsia="Arial" w:hAnsi="Arial" w:cs="Arial"/>
                <w:b/>
                <w:color w:val="000000"/>
                <w:sz w:val="18"/>
                <w:szCs w:val="18"/>
              </w:rPr>
            </w:pPr>
            <w:r>
              <w:rPr>
                <w:rFonts w:ascii="Arial" w:eastAsia="Arial" w:hAnsi="Arial" w:cs="Arial"/>
                <w:b/>
                <w:color w:val="000000"/>
                <w:sz w:val="18"/>
                <w:szCs w:val="18"/>
              </w:rPr>
              <w:t>Contaminated and Lower Yield Fisheries</w:t>
            </w:r>
          </w:p>
        </w:tc>
        <w:tc>
          <w:tcPr>
            <w:tcW w:w="1220" w:type="dxa"/>
            <w:tcBorders>
              <w:top w:val="single" w:sz="4" w:space="0" w:color="000000"/>
              <w:bottom w:val="single" w:sz="4" w:space="0" w:color="000000"/>
            </w:tcBorders>
            <w:shd w:val="clear" w:color="auto" w:fill="auto"/>
            <w:tcMar>
              <w:left w:w="43" w:type="dxa"/>
              <w:right w:w="43" w:type="dxa"/>
            </w:tcMar>
            <w:vAlign w:val="center"/>
          </w:tcPr>
          <w:p w14:paraId="2459D2B2" w14:textId="77777777" w:rsidR="008A388C" w:rsidRDefault="008A388C" w:rsidP="00797664">
            <w:pPr>
              <w:pBdr>
                <w:top w:val="nil"/>
                <w:left w:val="nil"/>
                <w:bottom w:val="nil"/>
                <w:right w:val="nil"/>
                <w:between w:val="nil"/>
              </w:pBdr>
              <w:spacing w:before="60" w:after="60" w:line="240" w:lineRule="auto"/>
              <w:jc w:val="center"/>
              <w:rPr>
                <w:rFonts w:ascii="Arial" w:eastAsia="Arial" w:hAnsi="Arial" w:cs="Arial"/>
                <w:b/>
                <w:color w:val="000000"/>
                <w:sz w:val="18"/>
                <w:szCs w:val="18"/>
              </w:rPr>
            </w:pPr>
            <w:r>
              <w:rPr>
                <w:rFonts w:ascii="Arial" w:eastAsia="Arial" w:hAnsi="Arial" w:cs="Arial"/>
                <w:b/>
                <w:color w:val="000000"/>
                <w:sz w:val="18"/>
                <w:szCs w:val="18"/>
              </w:rPr>
              <w:t>Poor Taste and Odor</w:t>
            </w:r>
          </w:p>
        </w:tc>
        <w:tc>
          <w:tcPr>
            <w:tcW w:w="1260" w:type="dxa"/>
            <w:tcBorders>
              <w:top w:val="single" w:sz="4" w:space="0" w:color="000000"/>
              <w:bottom w:val="single" w:sz="4" w:space="0" w:color="000000"/>
            </w:tcBorders>
            <w:shd w:val="clear" w:color="auto" w:fill="auto"/>
            <w:tcMar>
              <w:left w:w="43" w:type="dxa"/>
              <w:right w:w="43" w:type="dxa"/>
            </w:tcMar>
            <w:vAlign w:val="center"/>
          </w:tcPr>
          <w:p w14:paraId="24F4C710" w14:textId="77777777" w:rsidR="008A388C" w:rsidRDefault="008A388C" w:rsidP="00797664">
            <w:pPr>
              <w:pBdr>
                <w:top w:val="nil"/>
                <w:left w:val="nil"/>
                <w:bottom w:val="nil"/>
                <w:right w:val="nil"/>
                <w:between w:val="nil"/>
              </w:pBdr>
              <w:spacing w:before="60" w:after="60" w:line="240" w:lineRule="auto"/>
              <w:jc w:val="center"/>
              <w:rPr>
                <w:rFonts w:ascii="Arial" w:eastAsia="Arial" w:hAnsi="Arial" w:cs="Arial"/>
                <w:b/>
                <w:color w:val="000000"/>
                <w:sz w:val="18"/>
                <w:szCs w:val="18"/>
              </w:rPr>
            </w:pPr>
            <w:r>
              <w:rPr>
                <w:rFonts w:ascii="Arial" w:eastAsia="Arial" w:hAnsi="Arial" w:cs="Arial"/>
                <w:b/>
                <w:color w:val="000000"/>
                <w:sz w:val="18"/>
                <w:szCs w:val="18"/>
              </w:rPr>
              <w:t>Poor Aesthetics</w:t>
            </w:r>
          </w:p>
        </w:tc>
        <w:tc>
          <w:tcPr>
            <w:tcW w:w="1390" w:type="dxa"/>
            <w:tcBorders>
              <w:top w:val="single" w:sz="4" w:space="0" w:color="000000"/>
              <w:bottom w:val="single" w:sz="4" w:space="0" w:color="000000"/>
            </w:tcBorders>
            <w:shd w:val="clear" w:color="auto" w:fill="auto"/>
            <w:tcMar>
              <w:left w:w="43" w:type="dxa"/>
              <w:right w:w="43" w:type="dxa"/>
            </w:tcMar>
            <w:vAlign w:val="center"/>
          </w:tcPr>
          <w:p w14:paraId="5D8586D4" w14:textId="77777777" w:rsidR="008A388C" w:rsidRDefault="008A388C" w:rsidP="00797664">
            <w:pPr>
              <w:pBdr>
                <w:top w:val="nil"/>
                <w:left w:val="nil"/>
                <w:bottom w:val="nil"/>
                <w:right w:val="nil"/>
                <w:between w:val="nil"/>
              </w:pBdr>
              <w:spacing w:before="60" w:after="60" w:line="240" w:lineRule="auto"/>
              <w:jc w:val="center"/>
              <w:rPr>
                <w:rFonts w:ascii="Arial" w:eastAsia="Arial" w:hAnsi="Arial" w:cs="Arial"/>
                <w:b/>
                <w:color w:val="000000"/>
                <w:sz w:val="18"/>
                <w:szCs w:val="18"/>
              </w:rPr>
            </w:pPr>
            <w:r>
              <w:rPr>
                <w:rFonts w:ascii="Arial" w:eastAsia="Arial" w:hAnsi="Arial" w:cs="Arial"/>
                <w:b/>
                <w:color w:val="000000"/>
                <w:sz w:val="18"/>
                <w:szCs w:val="18"/>
              </w:rPr>
              <w:t>Impeded Navigation and Water Intake</w:t>
            </w:r>
          </w:p>
        </w:tc>
        <w:tc>
          <w:tcPr>
            <w:tcW w:w="1130" w:type="dxa"/>
            <w:tcBorders>
              <w:top w:val="single" w:sz="4" w:space="0" w:color="000000"/>
              <w:bottom w:val="single" w:sz="4" w:space="0" w:color="000000"/>
            </w:tcBorders>
            <w:shd w:val="clear" w:color="auto" w:fill="auto"/>
            <w:tcMar>
              <w:left w:w="43" w:type="dxa"/>
              <w:right w:w="43" w:type="dxa"/>
            </w:tcMar>
            <w:vAlign w:val="center"/>
          </w:tcPr>
          <w:p w14:paraId="669260EF" w14:textId="77777777" w:rsidR="008A388C" w:rsidRDefault="008A388C" w:rsidP="00797664">
            <w:pPr>
              <w:pBdr>
                <w:top w:val="nil"/>
                <w:left w:val="nil"/>
                <w:bottom w:val="nil"/>
                <w:right w:val="nil"/>
                <w:between w:val="nil"/>
              </w:pBdr>
              <w:spacing w:before="60" w:after="60" w:line="240" w:lineRule="auto"/>
              <w:jc w:val="center"/>
              <w:rPr>
                <w:rFonts w:ascii="Arial" w:eastAsia="Arial" w:hAnsi="Arial" w:cs="Arial"/>
                <w:b/>
                <w:color w:val="000000"/>
                <w:sz w:val="18"/>
                <w:szCs w:val="18"/>
              </w:rPr>
            </w:pPr>
            <w:r>
              <w:rPr>
                <w:rFonts w:ascii="Arial" w:eastAsia="Arial" w:hAnsi="Arial" w:cs="Arial"/>
                <w:b/>
                <w:color w:val="000000"/>
                <w:sz w:val="18"/>
                <w:szCs w:val="18"/>
              </w:rPr>
              <w:t>Poor Water Quality</w:t>
            </w:r>
          </w:p>
        </w:tc>
      </w:tr>
      <w:tr w:rsidR="008A388C" w14:paraId="5FF2F318" w14:textId="77777777" w:rsidTr="00797664">
        <w:trPr>
          <w:jc w:val="center"/>
        </w:trPr>
        <w:tc>
          <w:tcPr>
            <w:tcW w:w="1980" w:type="dxa"/>
            <w:tcBorders>
              <w:top w:val="single" w:sz="4" w:space="0" w:color="000000"/>
            </w:tcBorders>
            <w:vAlign w:val="center"/>
          </w:tcPr>
          <w:p w14:paraId="718C6E85" w14:textId="77777777" w:rsidR="008A388C" w:rsidRDefault="008A388C" w:rsidP="00797664">
            <w:pPr>
              <w:pBdr>
                <w:top w:val="nil"/>
                <w:left w:val="nil"/>
                <w:bottom w:val="nil"/>
                <w:right w:val="nil"/>
                <w:between w:val="nil"/>
              </w:pBdr>
              <w:spacing w:before="120" w:after="120" w:line="240" w:lineRule="auto"/>
              <w:rPr>
                <w:rFonts w:ascii="Arial" w:eastAsia="Arial" w:hAnsi="Arial" w:cs="Arial"/>
                <w:color w:val="000000"/>
                <w:sz w:val="18"/>
                <w:szCs w:val="18"/>
              </w:rPr>
            </w:pPr>
            <w:r>
              <w:rPr>
                <w:rFonts w:ascii="Arial" w:eastAsia="Arial" w:hAnsi="Arial" w:cs="Arial"/>
                <w:color w:val="000000"/>
                <w:sz w:val="18"/>
                <w:szCs w:val="18"/>
              </w:rPr>
              <w:t>ALU</w:t>
            </w:r>
          </w:p>
        </w:tc>
        <w:tc>
          <w:tcPr>
            <w:tcW w:w="1170" w:type="dxa"/>
            <w:tcBorders>
              <w:top w:val="single" w:sz="4" w:space="0" w:color="000000"/>
            </w:tcBorders>
            <w:vAlign w:val="center"/>
          </w:tcPr>
          <w:p w14:paraId="3378CA38" w14:textId="77777777" w:rsidR="008A388C" w:rsidRDefault="008A388C" w:rsidP="00797664">
            <w:pPr>
              <w:pBdr>
                <w:top w:val="nil"/>
                <w:left w:val="nil"/>
                <w:bottom w:val="nil"/>
                <w:right w:val="nil"/>
                <w:between w:val="nil"/>
              </w:pBdr>
              <w:spacing w:before="120" w:after="120" w:line="240" w:lineRule="auto"/>
              <w:jc w:val="center"/>
              <w:rPr>
                <w:rFonts w:ascii="Arial" w:eastAsia="Arial" w:hAnsi="Arial" w:cs="Arial"/>
                <w:b/>
                <w:color w:val="000000"/>
                <w:sz w:val="18"/>
                <w:szCs w:val="18"/>
              </w:rPr>
            </w:pPr>
            <w:r>
              <w:rPr>
                <w:rFonts w:ascii="Arial" w:eastAsia="Arial" w:hAnsi="Arial" w:cs="Arial"/>
                <w:b/>
                <w:color w:val="000000"/>
                <w:sz w:val="18"/>
                <w:szCs w:val="18"/>
              </w:rPr>
              <w:t>X</w:t>
            </w:r>
          </w:p>
        </w:tc>
        <w:tc>
          <w:tcPr>
            <w:tcW w:w="1390" w:type="dxa"/>
            <w:tcBorders>
              <w:top w:val="single" w:sz="4" w:space="0" w:color="000000"/>
            </w:tcBorders>
            <w:vAlign w:val="center"/>
          </w:tcPr>
          <w:p w14:paraId="3BF2A162" w14:textId="77777777" w:rsidR="008A388C" w:rsidRDefault="008A388C" w:rsidP="00797664">
            <w:pPr>
              <w:pBdr>
                <w:top w:val="nil"/>
                <w:left w:val="nil"/>
                <w:bottom w:val="nil"/>
                <w:right w:val="nil"/>
                <w:between w:val="nil"/>
              </w:pBdr>
              <w:spacing w:before="120" w:after="120" w:line="240" w:lineRule="auto"/>
              <w:jc w:val="center"/>
              <w:rPr>
                <w:rFonts w:ascii="Arial" w:eastAsia="Arial" w:hAnsi="Arial" w:cs="Arial"/>
                <w:b/>
                <w:color w:val="000000"/>
                <w:sz w:val="18"/>
                <w:szCs w:val="18"/>
              </w:rPr>
            </w:pPr>
          </w:p>
        </w:tc>
        <w:tc>
          <w:tcPr>
            <w:tcW w:w="1220" w:type="dxa"/>
            <w:tcBorders>
              <w:top w:val="single" w:sz="4" w:space="0" w:color="000000"/>
            </w:tcBorders>
            <w:vAlign w:val="center"/>
          </w:tcPr>
          <w:p w14:paraId="6625FAAD" w14:textId="77777777" w:rsidR="008A388C" w:rsidRDefault="008A388C" w:rsidP="00797664">
            <w:pPr>
              <w:pBdr>
                <w:top w:val="nil"/>
                <w:left w:val="nil"/>
                <w:bottom w:val="nil"/>
                <w:right w:val="nil"/>
                <w:between w:val="nil"/>
              </w:pBdr>
              <w:spacing w:before="120" w:after="120" w:line="240" w:lineRule="auto"/>
              <w:jc w:val="center"/>
              <w:rPr>
                <w:rFonts w:ascii="Arial" w:eastAsia="Arial" w:hAnsi="Arial" w:cs="Arial"/>
                <w:b/>
                <w:color w:val="000000"/>
                <w:sz w:val="18"/>
                <w:szCs w:val="18"/>
              </w:rPr>
            </w:pPr>
          </w:p>
        </w:tc>
        <w:tc>
          <w:tcPr>
            <w:tcW w:w="1260" w:type="dxa"/>
            <w:tcBorders>
              <w:top w:val="single" w:sz="4" w:space="0" w:color="000000"/>
            </w:tcBorders>
            <w:vAlign w:val="center"/>
          </w:tcPr>
          <w:p w14:paraId="5A0EA307" w14:textId="77777777" w:rsidR="008A388C" w:rsidRDefault="008A388C" w:rsidP="00797664">
            <w:pPr>
              <w:pBdr>
                <w:top w:val="nil"/>
                <w:left w:val="nil"/>
                <w:bottom w:val="nil"/>
                <w:right w:val="nil"/>
                <w:between w:val="nil"/>
              </w:pBdr>
              <w:spacing w:before="120" w:after="120" w:line="240" w:lineRule="auto"/>
              <w:jc w:val="center"/>
              <w:rPr>
                <w:rFonts w:ascii="Arial" w:eastAsia="Arial" w:hAnsi="Arial" w:cs="Arial"/>
                <w:b/>
                <w:color w:val="000000"/>
                <w:sz w:val="18"/>
                <w:szCs w:val="18"/>
              </w:rPr>
            </w:pPr>
          </w:p>
        </w:tc>
        <w:tc>
          <w:tcPr>
            <w:tcW w:w="1390" w:type="dxa"/>
            <w:tcBorders>
              <w:top w:val="single" w:sz="4" w:space="0" w:color="000000"/>
            </w:tcBorders>
            <w:vAlign w:val="center"/>
          </w:tcPr>
          <w:p w14:paraId="7E9117C2" w14:textId="77777777" w:rsidR="008A388C" w:rsidRDefault="008A388C" w:rsidP="00797664">
            <w:pPr>
              <w:pBdr>
                <w:top w:val="nil"/>
                <w:left w:val="nil"/>
                <w:bottom w:val="nil"/>
                <w:right w:val="nil"/>
                <w:between w:val="nil"/>
              </w:pBdr>
              <w:spacing w:before="120" w:after="120" w:line="240" w:lineRule="auto"/>
              <w:jc w:val="center"/>
              <w:rPr>
                <w:rFonts w:ascii="Arial" w:eastAsia="Arial" w:hAnsi="Arial" w:cs="Arial"/>
                <w:b/>
                <w:color w:val="000000"/>
                <w:sz w:val="18"/>
                <w:szCs w:val="18"/>
              </w:rPr>
            </w:pPr>
          </w:p>
        </w:tc>
        <w:tc>
          <w:tcPr>
            <w:tcW w:w="1130" w:type="dxa"/>
            <w:tcBorders>
              <w:top w:val="single" w:sz="4" w:space="0" w:color="000000"/>
            </w:tcBorders>
            <w:vAlign w:val="center"/>
          </w:tcPr>
          <w:p w14:paraId="1F4973FA" w14:textId="77777777" w:rsidR="008A388C" w:rsidRDefault="008A388C" w:rsidP="00797664">
            <w:pPr>
              <w:pBdr>
                <w:top w:val="nil"/>
                <w:left w:val="nil"/>
                <w:bottom w:val="nil"/>
                <w:right w:val="nil"/>
                <w:between w:val="nil"/>
              </w:pBdr>
              <w:spacing w:before="120" w:after="120" w:line="240" w:lineRule="auto"/>
              <w:jc w:val="center"/>
              <w:rPr>
                <w:rFonts w:ascii="Arial" w:eastAsia="Arial" w:hAnsi="Arial" w:cs="Arial"/>
                <w:b/>
                <w:color w:val="000000"/>
                <w:sz w:val="18"/>
                <w:szCs w:val="18"/>
              </w:rPr>
            </w:pPr>
            <w:r>
              <w:rPr>
                <w:rFonts w:ascii="Arial" w:eastAsia="Arial" w:hAnsi="Arial" w:cs="Arial"/>
                <w:b/>
                <w:color w:val="000000"/>
                <w:sz w:val="18"/>
                <w:szCs w:val="18"/>
              </w:rPr>
              <w:t>X</w:t>
            </w:r>
          </w:p>
        </w:tc>
      </w:tr>
      <w:tr w:rsidR="008A388C" w14:paraId="218E305F" w14:textId="77777777" w:rsidTr="00797664">
        <w:trPr>
          <w:jc w:val="center"/>
        </w:trPr>
        <w:tc>
          <w:tcPr>
            <w:tcW w:w="1980" w:type="dxa"/>
            <w:vAlign w:val="center"/>
          </w:tcPr>
          <w:p w14:paraId="0664BF2E" w14:textId="77777777" w:rsidR="008A388C" w:rsidRDefault="008A388C" w:rsidP="00797664">
            <w:pPr>
              <w:pBdr>
                <w:top w:val="nil"/>
                <w:left w:val="nil"/>
                <w:bottom w:val="nil"/>
                <w:right w:val="nil"/>
                <w:between w:val="nil"/>
              </w:pBdr>
              <w:spacing w:before="120" w:after="120" w:line="240" w:lineRule="auto"/>
              <w:rPr>
                <w:rFonts w:ascii="Arial" w:eastAsia="Arial" w:hAnsi="Arial" w:cs="Arial"/>
                <w:color w:val="000000"/>
                <w:sz w:val="18"/>
                <w:szCs w:val="18"/>
              </w:rPr>
            </w:pPr>
            <w:r>
              <w:rPr>
                <w:rFonts w:ascii="Arial" w:eastAsia="Arial" w:hAnsi="Arial" w:cs="Arial"/>
                <w:color w:val="000000"/>
                <w:sz w:val="18"/>
                <w:szCs w:val="18"/>
              </w:rPr>
              <w:t>MIGR/WILD/RARE</w:t>
            </w:r>
          </w:p>
        </w:tc>
        <w:tc>
          <w:tcPr>
            <w:tcW w:w="1170" w:type="dxa"/>
            <w:vAlign w:val="center"/>
          </w:tcPr>
          <w:p w14:paraId="62070AEB" w14:textId="77777777" w:rsidR="008A388C" w:rsidRDefault="008A388C" w:rsidP="00797664">
            <w:pPr>
              <w:pBdr>
                <w:top w:val="nil"/>
                <w:left w:val="nil"/>
                <w:bottom w:val="nil"/>
                <w:right w:val="nil"/>
                <w:between w:val="nil"/>
              </w:pBdr>
              <w:spacing w:before="120" w:after="120" w:line="240" w:lineRule="auto"/>
              <w:jc w:val="center"/>
              <w:rPr>
                <w:rFonts w:ascii="Arial" w:eastAsia="Arial" w:hAnsi="Arial" w:cs="Arial"/>
                <w:b/>
                <w:color w:val="000000"/>
                <w:sz w:val="18"/>
                <w:szCs w:val="18"/>
              </w:rPr>
            </w:pPr>
            <w:r>
              <w:rPr>
                <w:rFonts w:ascii="Arial" w:eastAsia="Arial" w:hAnsi="Arial" w:cs="Arial"/>
                <w:b/>
                <w:color w:val="000000"/>
                <w:sz w:val="18"/>
                <w:szCs w:val="18"/>
              </w:rPr>
              <w:t>X</w:t>
            </w:r>
          </w:p>
        </w:tc>
        <w:tc>
          <w:tcPr>
            <w:tcW w:w="1390" w:type="dxa"/>
            <w:vAlign w:val="center"/>
          </w:tcPr>
          <w:p w14:paraId="433AD6F3" w14:textId="77777777" w:rsidR="008A388C" w:rsidRDefault="008A388C" w:rsidP="00797664">
            <w:pPr>
              <w:pBdr>
                <w:top w:val="nil"/>
                <w:left w:val="nil"/>
                <w:bottom w:val="nil"/>
                <w:right w:val="nil"/>
                <w:between w:val="nil"/>
              </w:pBdr>
              <w:spacing w:before="120" w:after="120" w:line="240" w:lineRule="auto"/>
              <w:jc w:val="center"/>
              <w:rPr>
                <w:rFonts w:ascii="Arial" w:eastAsia="Arial" w:hAnsi="Arial" w:cs="Arial"/>
                <w:b/>
                <w:color w:val="000000"/>
                <w:sz w:val="18"/>
                <w:szCs w:val="18"/>
              </w:rPr>
            </w:pPr>
            <w:r>
              <w:rPr>
                <w:rFonts w:ascii="Arial" w:eastAsia="Arial" w:hAnsi="Arial" w:cs="Arial"/>
                <w:b/>
                <w:color w:val="000000"/>
                <w:sz w:val="18"/>
                <w:szCs w:val="18"/>
              </w:rPr>
              <w:t>X</w:t>
            </w:r>
          </w:p>
        </w:tc>
        <w:tc>
          <w:tcPr>
            <w:tcW w:w="1220" w:type="dxa"/>
            <w:vAlign w:val="center"/>
          </w:tcPr>
          <w:p w14:paraId="4355129A" w14:textId="77777777" w:rsidR="008A388C" w:rsidRDefault="008A388C" w:rsidP="00797664">
            <w:pPr>
              <w:pBdr>
                <w:top w:val="nil"/>
                <w:left w:val="nil"/>
                <w:bottom w:val="nil"/>
                <w:right w:val="nil"/>
                <w:between w:val="nil"/>
              </w:pBdr>
              <w:spacing w:before="120" w:after="120" w:line="240" w:lineRule="auto"/>
              <w:jc w:val="center"/>
              <w:rPr>
                <w:rFonts w:ascii="Arial" w:eastAsia="Arial" w:hAnsi="Arial" w:cs="Arial"/>
                <w:b/>
                <w:color w:val="000000"/>
                <w:sz w:val="18"/>
                <w:szCs w:val="18"/>
              </w:rPr>
            </w:pPr>
          </w:p>
        </w:tc>
        <w:tc>
          <w:tcPr>
            <w:tcW w:w="1260" w:type="dxa"/>
            <w:vAlign w:val="center"/>
          </w:tcPr>
          <w:p w14:paraId="31B76E1F" w14:textId="77777777" w:rsidR="008A388C" w:rsidRDefault="008A388C" w:rsidP="00797664">
            <w:pPr>
              <w:pBdr>
                <w:top w:val="nil"/>
                <w:left w:val="nil"/>
                <w:bottom w:val="nil"/>
                <w:right w:val="nil"/>
                <w:between w:val="nil"/>
              </w:pBdr>
              <w:spacing w:before="120" w:after="120" w:line="240" w:lineRule="auto"/>
              <w:jc w:val="center"/>
              <w:rPr>
                <w:rFonts w:ascii="Arial" w:eastAsia="Arial" w:hAnsi="Arial" w:cs="Arial"/>
                <w:b/>
                <w:color w:val="000000"/>
                <w:sz w:val="18"/>
                <w:szCs w:val="18"/>
              </w:rPr>
            </w:pPr>
          </w:p>
        </w:tc>
        <w:tc>
          <w:tcPr>
            <w:tcW w:w="1390" w:type="dxa"/>
            <w:vAlign w:val="center"/>
          </w:tcPr>
          <w:p w14:paraId="65085C5F" w14:textId="77777777" w:rsidR="008A388C" w:rsidRDefault="008A388C" w:rsidP="00797664">
            <w:pPr>
              <w:pBdr>
                <w:top w:val="nil"/>
                <w:left w:val="nil"/>
                <w:bottom w:val="nil"/>
                <w:right w:val="nil"/>
                <w:between w:val="nil"/>
              </w:pBdr>
              <w:spacing w:before="120" w:after="120" w:line="240" w:lineRule="auto"/>
              <w:jc w:val="center"/>
              <w:rPr>
                <w:rFonts w:ascii="Arial" w:eastAsia="Arial" w:hAnsi="Arial" w:cs="Arial"/>
                <w:b/>
                <w:color w:val="000000"/>
                <w:sz w:val="18"/>
                <w:szCs w:val="18"/>
              </w:rPr>
            </w:pPr>
          </w:p>
        </w:tc>
        <w:tc>
          <w:tcPr>
            <w:tcW w:w="1130" w:type="dxa"/>
            <w:vAlign w:val="center"/>
          </w:tcPr>
          <w:p w14:paraId="0CCCA2CC" w14:textId="77777777" w:rsidR="008A388C" w:rsidRDefault="008A388C" w:rsidP="00797664">
            <w:pPr>
              <w:pBdr>
                <w:top w:val="nil"/>
                <w:left w:val="nil"/>
                <w:bottom w:val="nil"/>
                <w:right w:val="nil"/>
                <w:between w:val="nil"/>
              </w:pBdr>
              <w:spacing w:before="120" w:after="120" w:line="240" w:lineRule="auto"/>
              <w:jc w:val="center"/>
              <w:rPr>
                <w:rFonts w:ascii="Arial" w:eastAsia="Arial" w:hAnsi="Arial" w:cs="Arial"/>
                <w:b/>
                <w:color w:val="000000"/>
                <w:sz w:val="18"/>
                <w:szCs w:val="18"/>
              </w:rPr>
            </w:pPr>
            <w:r>
              <w:rPr>
                <w:rFonts w:ascii="Arial" w:eastAsia="Arial" w:hAnsi="Arial" w:cs="Arial"/>
                <w:b/>
                <w:color w:val="000000"/>
                <w:sz w:val="18"/>
                <w:szCs w:val="18"/>
              </w:rPr>
              <w:t>X</w:t>
            </w:r>
          </w:p>
        </w:tc>
      </w:tr>
      <w:tr w:rsidR="008A388C" w14:paraId="6CCE94AD" w14:textId="77777777" w:rsidTr="00797664">
        <w:trPr>
          <w:jc w:val="center"/>
        </w:trPr>
        <w:tc>
          <w:tcPr>
            <w:tcW w:w="1980" w:type="dxa"/>
            <w:vAlign w:val="center"/>
          </w:tcPr>
          <w:p w14:paraId="66E27231" w14:textId="77777777" w:rsidR="008A388C" w:rsidRDefault="008A388C" w:rsidP="00797664">
            <w:pPr>
              <w:pBdr>
                <w:top w:val="nil"/>
                <w:left w:val="nil"/>
                <w:bottom w:val="nil"/>
                <w:right w:val="nil"/>
                <w:between w:val="nil"/>
              </w:pBdr>
              <w:spacing w:before="120" w:after="120" w:line="240" w:lineRule="auto"/>
              <w:rPr>
                <w:rFonts w:ascii="Arial" w:eastAsia="Arial" w:hAnsi="Arial" w:cs="Arial"/>
                <w:color w:val="000000"/>
                <w:sz w:val="18"/>
                <w:szCs w:val="18"/>
              </w:rPr>
            </w:pPr>
            <w:r>
              <w:rPr>
                <w:rFonts w:ascii="Arial" w:eastAsia="Arial" w:hAnsi="Arial" w:cs="Arial"/>
                <w:color w:val="000000"/>
                <w:sz w:val="18"/>
                <w:szCs w:val="18"/>
              </w:rPr>
              <w:t>COMM/AQUA/SHELL</w:t>
            </w:r>
          </w:p>
        </w:tc>
        <w:tc>
          <w:tcPr>
            <w:tcW w:w="1170" w:type="dxa"/>
            <w:vAlign w:val="center"/>
          </w:tcPr>
          <w:p w14:paraId="1843BF29" w14:textId="77777777" w:rsidR="008A388C" w:rsidRDefault="008A388C" w:rsidP="00797664">
            <w:pPr>
              <w:pBdr>
                <w:top w:val="nil"/>
                <w:left w:val="nil"/>
                <w:bottom w:val="nil"/>
                <w:right w:val="nil"/>
                <w:between w:val="nil"/>
              </w:pBdr>
              <w:spacing w:before="120" w:after="120" w:line="240" w:lineRule="auto"/>
              <w:jc w:val="center"/>
              <w:rPr>
                <w:rFonts w:ascii="Arial" w:eastAsia="Arial" w:hAnsi="Arial" w:cs="Arial"/>
                <w:b/>
                <w:color w:val="000000"/>
                <w:sz w:val="18"/>
                <w:szCs w:val="18"/>
              </w:rPr>
            </w:pPr>
            <w:r>
              <w:rPr>
                <w:rFonts w:ascii="Arial" w:eastAsia="Arial" w:hAnsi="Arial" w:cs="Arial"/>
                <w:b/>
                <w:color w:val="000000"/>
                <w:sz w:val="18"/>
                <w:szCs w:val="18"/>
              </w:rPr>
              <w:t>X</w:t>
            </w:r>
          </w:p>
        </w:tc>
        <w:tc>
          <w:tcPr>
            <w:tcW w:w="1390" w:type="dxa"/>
            <w:vAlign w:val="center"/>
          </w:tcPr>
          <w:p w14:paraId="7A0936F2" w14:textId="77777777" w:rsidR="008A388C" w:rsidRDefault="008A388C" w:rsidP="00797664">
            <w:pPr>
              <w:pBdr>
                <w:top w:val="nil"/>
                <w:left w:val="nil"/>
                <w:bottom w:val="nil"/>
                <w:right w:val="nil"/>
                <w:between w:val="nil"/>
              </w:pBdr>
              <w:spacing w:before="120" w:after="120" w:line="240" w:lineRule="auto"/>
              <w:jc w:val="center"/>
              <w:rPr>
                <w:rFonts w:ascii="Arial" w:eastAsia="Arial" w:hAnsi="Arial" w:cs="Arial"/>
                <w:b/>
                <w:color w:val="000000"/>
                <w:sz w:val="18"/>
                <w:szCs w:val="18"/>
              </w:rPr>
            </w:pPr>
            <w:r>
              <w:rPr>
                <w:rFonts w:ascii="Arial" w:eastAsia="Arial" w:hAnsi="Arial" w:cs="Arial"/>
                <w:b/>
                <w:color w:val="000000"/>
                <w:sz w:val="18"/>
                <w:szCs w:val="18"/>
              </w:rPr>
              <w:t>X</w:t>
            </w:r>
          </w:p>
        </w:tc>
        <w:tc>
          <w:tcPr>
            <w:tcW w:w="1220" w:type="dxa"/>
            <w:vAlign w:val="center"/>
          </w:tcPr>
          <w:p w14:paraId="4E8DE4D0" w14:textId="77777777" w:rsidR="008A388C" w:rsidRDefault="008A388C" w:rsidP="00797664">
            <w:pPr>
              <w:pBdr>
                <w:top w:val="nil"/>
                <w:left w:val="nil"/>
                <w:bottom w:val="nil"/>
                <w:right w:val="nil"/>
                <w:between w:val="nil"/>
              </w:pBdr>
              <w:spacing w:before="120" w:after="120" w:line="240" w:lineRule="auto"/>
              <w:jc w:val="center"/>
              <w:rPr>
                <w:rFonts w:ascii="Arial" w:eastAsia="Arial" w:hAnsi="Arial" w:cs="Arial"/>
                <w:b/>
                <w:color w:val="000000"/>
                <w:sz w:val="18"/>
                <w:szCs w:val="18"/>
              </w:rPr>
            </w:pPr>
            <w:r>
              <w:rPr>
                <w:rFonts w:ascii="Arial" w:eastAsia="Arial" w:hAnsi="Arial" w:cs="Arial"/>
                <w:b/>
                <w:color w:val="000000"/>
                <w:sz w:val="18"/>
                <w:szCs w:val="18"/>
              </w:rPr>
              <w:t>X</w:t>
            </w:r>
          </w:p>
        </w:tc>
        <w:tc>
          <w:tcPr>
            <w:tcW w:w="1260" w:type="dxa"/>
            <w:vAlign w:val="center"/>
          </w:tcPr>
          <w:p w14:paraId="348FE5FE" w14:textId="77777777" w:rsidR="008A388C" w:rsidRDefault="008A388C" w:rsidP="00797664">
            <w:pPr>
              <w:pBdr>
                <w:top w:val="nil"/>
                <w:left w:val="nil"/>
                <w:bottom w:val="nil"/>
                <w:right w:val="nil"/>
                <w:between w:val="nil"/>
              </w:pBdr>
              <w:spacing w:before="120" w:after="120" w:line="240" w:lineRule="auto"/>
              <w:jc w:val="center"/>
              <w:rPr>
                <w:rFonts w:ascii="Arial" w:eastAsia="Arial" w:hAnsi="Arial" w:cs="Arial"/>
                <w:b/>
                <w:color w:val="000000"/>
                <w:sz w:val="18"/>
                <w:szCs w:val="18"/>
              </w:rPr>
            </w:pPr>
          </w:p>
        </w:tc>
        <w:tc>
          <w:tcPr>
            <w:tcW w:w="1390" w:type="dxa"/>
            <w:vAlign w:val="center"/>
          </w:tcPr>
          <w:p w14:paraId="0F77005E" w14:textId="77777777" w:rsidR="008A388C" w:rsidRDefault="008A388C" w:rsidP="00797664">
            <w:pPr>
              <w:pBdr>
                <w:top w:val="nil"/>
                <w:left w:val="nil"/>
                <w:bottom w:val="nil"/>
                <w:right w:val="nil"/>
                <w:between w:val="nil"/>
              </w:pBdr>
              <w:spacing w:before="120" w:after="120" w:line="240" w:lineRule="auto"/>
              <w:jc w:val="center"/>
              <w:rPr>
                <w:rFonts w:ascii="Arial" w:eastAsia="Arial" w:hAnsi="Arial" w:cs="Arial"/>
                <w:b/>
                <w:color w:val="000000"/>
                <w:sz w:val="18"/>
                <w:szCs w:val="18"/>
              </w:rPr>
            </w:pPr>
          </w:p>
        </w:tc>
        <w:tc>
          <w:tcPr>
            <w:tcW w:w="1130" w:type="dxa"/>
            <w:vAlign w:val="center"/>
          </w:tcPr>
          <w:p w14:paraId="6355C760" w14:textId="77777777" w:rsidR="008A388C" w:rsidRDefault="008A388C" w:rsidP="00797664">
            <w:pPr>
              <w:pBdr>
                <w:top w:val="nil"/>
                <w:left w:val="nil"/>
                <w:bottom w:val="nil"/>
                <w:right w:val="nil"/>
                <w:between w:val="nil"/>
              </w:pBdr>
              <w:spacing w:before="120" w:after="120" w:line="240" w:lineRule="auto"/>
              <w:jc w:val="center"/>
              <w:rPr>
                <w:rFonts w:ascii="Arial" w:eastAsia="Arial" w:hAnsi="Arial" w:cs="Arial"/>
                <w:b/>
                <w:color w:val="000000"/>
                <w:sz w:val="18"/>
                <w:szCs w:val="18"/>
              </w:rPr>
            </w:pPr>
            <w:r>
              <w:rPr>
                <w:rFonts w:ascii="Arial" w:eastAsia="Arial" w:hAnsi="Arial" w:cs="Arial"/>
                <w:b/>
                <w:color w:val="000000"/>
                <w:sz w:val="18"/>
                <w:szCs w:val="18"/>
              </w:rPr>
              <w:t>X</w:t>
            </w:r>
          </w:p>
        </w:tc>
      </w:tr>
      <w:tr w:rsidR="008A388C" w14:paraId="597E4BC9" w14:textId="77777777" w:rsidTr="00797664">
        <w:trPr>
          <w:jc w:val="center"/>
        </w:trPr>
        <w:tc>
          <w:tcPr>
            <w:tcW w:w="1980" w:type="dxa"/>
            <w:vAlign w:val="center"/>
          </w:tcPr>
          <w:p w14:paraId="4C2A92C7" w14:textId="77777777" w:rsidR="008A388C" w:rsidRDefault="008A388C" w:rsidP="00797664">
            <w:pPr>
              <w:pBdr>
                <w:top w:val="nil"/>
                <w:left w:val="nil"/>
                <w:bottom w:val="nil"/>
                <w:right w:val="nil"/>
                <w:between w:val="nil"/>
              </w:pBdr>
              <w:spacing w:before="120" w:after="120" w:line="240" w:lineRule="auto"/>
              <w:rPr>
                <w:rFonts w:ascii="Arial" w:eastAsia="Arial" w:hAnsi="Arial" w:cs="Arial"/>
                <w:color w:val="000000"/>
                <w:sz w:val="18"/>
                <w:szCs w:val="18"/>
              </w:rPr>
            </w:pPr>
            <w:r>
              <w:rPr>
                <w:rFonts w:ascii="Arial" w:eastAsia="Arial" w:hAnsi="Arial" w:cs="Arial"/>
                <w:color w:val="000000"/>
                <w:sz w:val="18"/>
                <w:szCs w:val="18"/>
              </w:rPr>
              <w:t>TRIB/CUL</w:t>
            </w:r>
          </w:p>
        </w:tc>
        <w:tc>
          <w:tcPr>
            <w:tcW w:w="1170" w:type="dxa"/>
            <w:vAlign w:val="center"/>
          </w:tcPr>
          <w:p w14:paraId="184DC5B8" w14:textId="77777777" w:rsidR="008A388C" w:rsidRDefault="008A388C" w:rsidP="00797664">
            <w:pPr>
              <w:pBdr>
                <w:top w:val="nil"/>
                <w:left w:val="nil"/>
                <w:bottom w:val="nil"/>
                <w:right w:val="nil"/>
                <w:between w:val="nil"/>
              </w:pBdr>
              <w:spacing w:before="120" w:after="120" w:line="240" w:lineRule="auto"/>
              <w:jc w:val="center"/>
              <w:rPr>
                <w:rFonts w:ascii="Arial" w:eastAsia="Arial" w:hAnsi="Arial" w:cs="Arial"/>
                <w:b/>
                <w:color w:val="000000"/>
                <w:sz w:val="18"/>
                <w:szCs w:val="18"/>
              </w:rPr>
            </w:pPr>
            <w:r>
              <w:rPr>
                <w:rFonts w:ascii="Arial" w:eastAsia="Arial" w:hAnsi="Arial" w:cs="Arial"/>
                <w:b/>
                <w:color w:val="000000"/>
                <w:sz w:val="18"/>
                <w:szCs w:val="18"/>
              </w:rPr>
              <w:t>X</w:t>
            </w:r>
          </w:p>
        </w:tc>
        <w:tc>
          <w:tcPr>
            <w:tcW w:w="1390" w:type="dxa"/>
            <w:vAlign w:val="center"/>
          </w:tcPr>
          <w:p w14:paraId="7AA6ED1F" w14:textId="77777777" w:rsidR="008A388C" w:rsidRDefault="008A388C" w:rsidP="00797664">
            <w:pPr>
              <w:pBdr>
                <w:top w:val="nil"/>
                <w:left w:val="nil"/>
                <w:bottom w:val="nil"/>
                <w:right w:val="nil"/>
                <w:between w:val="nil"/>
              </w:pBdr>
              <w:spacing w:before="120" w:after="120" w:line="240" w:lineRule="auto"/>
              <w:jc w:val="center"/>
              <w:rPr>
                <w:rFonts w:ascii="Arial" w:eastAsia="Arial" w:hAnsi="Arial" w:cs="Arial"/>
                <w:b/>
                <w:color w:val="000000"/>
                <w:sz w:val="18"/>
                <w:szCs w:val="18"/>
              </w:rPr>
            </w:pPr>
            <w:r>
              <w:rPr>
                <w:rFonts w:ascii="Arial" w:eastAsia="Arial" w:hAnsi="Arial" w:cs="Arial"/>
                <w:b/>
                <w:color w:val="000000"/>
                <w:sz w:val="18"/>
                <w:szCs w:val="18"/>
              </w:rPr>
              <w:t>X</w:t>
            </w:r>
          </w:p>
        </w:tc>
        <w:tc>
          <w:tcPr>
            <w:tcW w:w="1220" w:type="dxa"/>
            <w:vAlign w:val="center"/>
          </w:tcPr>
          <w:p w14:paraId="70E3B0D3" w14:textId="77777777" w:rsidR="008A388C" w:rsidRDefault="008A388C" w:rsidP="00797664">
            <w:pPr>
              <w:pBdr>
                <w:top w:val="nil"/>
                <w:left w:val="nil"/>
                <w:bottom w:val="nil"/>
                <w:right w:val="nil"/>
                <w:between w:val="nil"/>
              </w:pBdr>
              <w:spacing w:before="120" w:after="120" w:line="240" w:lineRule="auto"/>
              <w:jc w:val="center"/>
              <w:rPr>
                <w:rFonts w:ascii="Arial" w:eastAsia="Arial" w:hAnsi="Arial" w:cs="Arial"/>
                <w:b/>
                <w:color w:val="000000"/>
                <w:sz w:val="18"/>
                <w:szCs w:val="18"/>
              </w:rPr>
            </w:pPr>
            <w:r>
              <w:rPr>
                <w:rFonts w:ascii="Arial" w:eastAsia="Arial" w:hAnsi="Arial" w:cs="Arial"/>
                <w:b/>
                <w:color w:val="000000"/>
                <w:sz w:val="18"/>
                <w:szCs w:val="18"/>
              </w:rPr>
              <w:t>X</w:t>
            </w:r>
          </w:p>
        </w:tc>
        <w:tc>
          <w:tcPr>
            <w:tcW w:w="1260" w:type="dxa"/>
            <w:vAlign w:val="center"/>
          </w:tcPr>
          <w:p w14:paraId="6A038483" w14:textId="77777777" w:rsidR="008A388C" w:rsidRDefault="008A388C" w:rsidP="00797664">
            <w:pPr>
              <w:pBdr>
                <w:top w:val="nil"/>
                <w:left w:val="nil"/>
                <w:bottom w:val="nil"/>
                <w:right w:val="nil"/>
                <w:between w:val="nil"/>
              </w:pBdr>
              <w:spacing w:before="120" w:after="120" w:line="240" w:lineRule="auto"/>
              <w:jc w:val="center"/>
              <w:rPr>
                <w:rFonts w:ascii="Arial" w:eastAsia="Arial" w:hAnsi="Arial" w:cs="Arial"/>
                <w:b/>
                <w:color w:val="000000"/>
                <w:sz w:val="18"/>
                <w:szCs w:val="18"/>
              </w:rPr>
            </w:pPr>
            <w:r>
              <w:rPr>
                <w:rFonts w:ascii="Arial" w:eastAsia="Arial" w:hAnsi="Arial" w:cs="Arial"/>
                <w:b/>
                <w:color w:val="000000"/>
                <w:sz w:val="18"/>
                <w:szCs w:val="18"/>
              </w:rPr>
              <w:t>X</w:t>
            </w:r>
          </w:p>
        </w:tc>
        <w:tc>
          <w:tcPr>
            <w:tcW w:w="1390" w:type="dxa"/>
            <w:vAlign w:val="center"/>
          </w:tcPr>
          <w:p w14:paraId="23FF8B28" w14:textId="77777777" w:rsidR="008A388C" w:rsidRDefault="008A388C" w:rsidP="00797664">
            <w:pPr>
              <w:pBdr>
                <w:top w:val="nil"/>
                <w:left w:val="nil"/>
                <w:bottom w:val="nil"/>
                <w:right w:val="nil"/>
                <w:between w:val="nil"/>
              </w:pBdr>
              <w:spacing w:before="120" w:after="120" w:line="240" w:lineRule="auto"/>
              <w:jc w:val="center"/>
              <w:rPr>
                <w:rFonts w:ascii="Arial" w:eastAsia="Arial" w:hAnsi="Arial" w:cs="Arial"/>
                <w:b/>
                <w:color w:val="000000"/>
                <w:sz w:val="18"/>
                <w:szCs w:val="18"/>
              </w:rPr>
            </w:pPr>
            <w:r>
              <w:rPr>
                <w:rFonts w:ascii="Arial" w:eastAsia="Arial" w:hAnsi="Arial" w:cs="Arial"/>
                <w:b/>
                <w:color w:val="000000"/>
                <w:sz w:val="18"/>
                <w:szCs w:val="18"/>
              </w:rPr>
              <w:t>X</w:t>
            </w:r>
          </w:p>
        </w:tc>
        <w:tc>
          <w:tcPr>
            <w:tcW w:w="1130" w:type="dxa"/>
            <w:vAlign w:val="center"/>
          </w:tcPr>
          <w:p w14:paraId="1D8A30C9" w14:textId="77777777" w:rsidR="008A388C" w:rsidRDefault="008A388C" w:rsidP="00797664">
            <w:pPr>
              <w:pBdr>
                <w:top w:val="nil"/>
                <w:left w:val="nil"/>
                <w:bottom w:val="nil"/>
                <w:right w:val="nil"/>
                <w:between w:val="nil"/>
              </w:pBdr>
              <w:spacing w:before="120" w:after="120" w:line="240" w:lineRule="auto"/>
              <w:jc w:val="center"/>
              <w:rPr>
                <w:rFonts w:ascii="Arial" w:eastAsia="Arial" w:hAnsi="Arial" w:cs="Arial"/>
                <w:b/>
                <w:color w:val="000000"/>
                <w:sz w:val="18"/>
                <w:szCs w:val="18"/>
              </w:rPr>
            </w:pPr>
            <w:r>
              <w:rPr>
                <w:rFonts w:ascii="Arial" w:eastAsia="Arial" w:hAnsi="Arial" w:cs="Arial"/>
                <w:b/>
                <w:color w:val="000000"/>
                <w:sz w:val="18"/>
                <w:szCs w:val="18"/>
              </w:rPr>
              <w:t>X</w:t>
            </w:r>
          </w:p>
        </w:tc>
      </w:tr>
      <w:tr w:rsidR="008A388C" w14:paraId="0AB6ED1A" w14:textId="77777777" w:rsidTr="00797664">
        <w:trPr>
          <w:jc w:val="center"/>
        </w:trPr>
        <w:tc>
          <w:tcPr>
            <w:tcW w:w="1980" w:type="dxa"/>
            <w:vAlign w:val="center"/>
          </w:tcPr>
          <w:p w14:paraId="5D2E43C5" w14:textId="77777777" w:rsidR="008A388C" w:rsidRDefault="008A388C" w:rsidP="00797664">
            <w:pPr>
              <w:pBdr>
                <w:top w:val="nil"/>
                <w:left w:val="nil"/>
                <w:bottom w:val="nil"/>
                <w:right w:val="nil"/>
                <w:between w:val="nil"/>
              </w:pBdr>
              <w:spacing w:before="120" w:after="120" w:line="240" w:lineRule="auto"/>
              <w:rPr>
                <w:rFonts w:ascii="Arial" w:eastAsia="Arial" w:hAnsi="Arial" w:cs="Arial"/>
                <w:color w:val="000000"/>
                <w:sz w:val="18"/>
                <w:szCs w:val="18"/>
              </w:rPr>
            </w:pPr>
            <w:r>
              <w:rPr>
                <w:rFonts w:ascii="Arial" w:eastAsia="Arial" w:hAnsi="Arial" w:cs="Arial"/>
                <w:color w:val="000000"/>
                <w:sz w:val="18"/>
                <w:szCs w:val="18"/>
              </w:rPr>
              <w:t>MUN</w:t>
            </w:r>
          </w:p>
        </w:tc>
        <w:tc>
          <w:tcPr>
            <w:tcW w:w="1170" w:type="dxa"/>
            <w:vAlign w:val="center"/>
          </w:tcPr>
          <w:p w14:paraId="52EAD008" w14:textId="77777777" w:rsidR="008A388C" w:rsidRDefault="008A388C" w:rsidP="00797664">
            <w:pPr>
              <w:pBdr>
                <w:top w:val="nil"/>
                <w:left w:val="nil"/>
                <w:bottom w:val="nil"/>
                <w:right w:val="nil"/>
                <w:between w:val="nil"/>
              </w:pBdr>
              <w:spacing w:before="120" w:after="120" w:line="240" w:lineRule="auto"/>
              <w:jc w:val="center"/>
              <w:rPr>
                <w:rFonts w:ascii="Arial" w:eastAsia="Arial" w:hAnsi="Arial" w:cs="Arial"/>
                <w:b/>
                <w:color w:val="000000"/>
                <w:sz w:val="18"/>
                <w:szCs w:val="18"/>
              </w:rPr>
            </w:pPr>
          </w:p>
        </w:tc>
        <w:tc>
          <w:tcPr>
            <w:tcW w:w="1390" w:type="dxa"/>
            <w:vAlign w:val="center"/>
          </w:tcPr>
          <w:p w14:paraId="153B993A" w14:textId="77777777" w:rsidR="008A388C" w:rsidRDefault="008A388C" w:rsidP="00797664">
            <w:pPr>
              <w:pBdr>
                <w:top w:val="nil"/>
                <w:left w:val="nil"/>
                <w:bottom w:val="nil"/>
                <w:right w:val="nil"/>
                <w:between w:val="nil"/>
              </w:pBdr>
              <w:spacing w:before="120" w:after="120" w:line="240" w:lineRule="auto"/>
              <w:jc w:val="center"/>
              <w:rPr>
                <w:rFonts w:ascii="Arial" w:eastAsia="Arial" w:hAnsi="Arial" w:cs="Arial"/>
                <w:b/>
                <w:color w:val="000000"/>
                <w:sz w:val="18"/>
                <w:szCs w:val="18"/>
              </w:rPr>
            </w:pPr>
          </w:p>
        </w:tc>
        <w:tc>
          <w:tcPr>
            <w:tcW w:w="1220" w:type="dxa"/>
            <w:vAlign w:val="center"/>
          </w:tcPr>
          <w:p w14:paraId="2A720323" w14:textId="77777777" w:rsidR="008A388C" w:rsidRDefault="008A388C" w:rsidP="00797664">
            <w:pPr>
              <w:pBdr>
                <w:top w:val="nil"/>
                <w:left w:val="nil"/>
                <w:bottom w:val="nil"/>
                <w:right w:val="nil"/>
                <w:between w:val="nil"/>
              </w:pBdr>
              <w:spacing w:before="120" w:after="120" w:line="240" w:lineRule="auto"/>
              <w:jc w:val="center"/>
              <w:rPr>
                <w:rFonts w:ascii="Arial" w:eastAsia="Arial" w:hAnsi="Arial" w:cs="Arial"/>
                <w:b/>
                <w:color w:val="000000"/>
                <w:sz w:val="18"/>
                <w:szCs w:val="18"/>
              </w:rPr>
            </w:pPr>
            <w:r>
              <w:rPr>
                <w:rFonts w:ascii="Arial" w:eastAsia="Arial" w:hAnsi="Arial" w:cs="Arial"/>
                <w:b/>
                <w:color w:val="000000"/>
                <w:sz w:val="18"/>
                <w:szCs w:val="18"/>
              </w:rPr>
              <w:t>X</w:t>
            </w:r>
          </w:p>
        </w:tc>
        <w:tc>
          <w:tcPr>
            <w:tcW w:w="1260" w:type="dxa"/>
            <w:vAlign w:val="center"/>
          </w:tcPr>
          <w:p w14:paraId="72EF30FA" w14:textId="77777777" w:rsidR="008A388C" w:rsidRDefault="008A388C" w:rsidP="00797664">
            <w:pPr>
              <w:pBdr>
                <w:top w:val="nil"/>
                <w:left w:val="nil"/>
                <w:bottom w:val="nil"/>
                <w:right w:val="nil"/>
                <w:between w:val="nil"/>
              </w:pBdr>
              <w:spacing w:before="120" w:after="120" w:line="240" w:lineRule="auto"/>
              <w:jc w:val="center"/>
              <w:rPr>
                <w:rFonts w:ascii="Arial" w:eastAsia="Arial" w:hAnsi="Arial" w:cs="Arial"/>
                <w:b/>
                <w:color w:val="000000"/>
                <w:sz w:val="18"/>
                <w:szCs w:val="18"/>
              </w:rPr>
            </w:pPr>
          </w:p>
        </w:tc>
        <w:tc>
          <w:tcPr>
            <w:tcW w:w="1390" w:type="dxa"/>
            <w:vAlign w:val="center"/>
          </w:tcPr>
          <w:p w14:paraId="5D36C9CD" w14:textId="77777777" w:rsidR="008A388C" w:rsidRDefault="008A388C" w:rsidP="00797664">
            <w:pPr>
              <w:pBdr>
                <w:top w:val="nil"/>
                <w:left w:val="nil"/>
                <w:bottom w:val="nil"/>
                <w:right w:val="nil"/>
                <w:between w:val="nil"/>
              </w:pBdr>
              <w:spacing w:before="120" w:after="120" w:line="240" w:lineRule="auto"/>
              <w:jc w:val="center"/>
              <w:rPr>
                <w:rFonts w:ascii="Arial" w:eastAsia="Arial" w:hAnsi="Arial" w:cs="Arial"/>
                <w:b/>
                <w:color w:val="000000"/>
                <w:sz w:val="18"/>
                <w:szCs w:val="18"/>
              </w:rPr>
            </w:pPr>
            <w:r>
              <w:rPr>
                <w:rFonts w:ascii="Arial" w:eastAsia="Arial" w:hAnsi="Arial" w:cs="Arial"/>
                <w:b/>
                <w:color w:val="000000"/>
                <w:sz w:val="18"/>
                <w:szCs w:val="18"/>
              </w:rPr>
              <w:t>X</w:t>
            </w:r>
          </w:p>
        </w:tc>
        <w:tc>
          <w:tcPr>
            <w:tcW w:w="1130" w:type="dxa"/>
            <w:vAlign w:val="center"/>
          </w:tcPr>
          <w:p w14:paraId="19E8955E" w14:textId="77777777" w:rsidR="008A388C" w:rsidRDefault="008A388C" w:rsidP="00797664">
            <w:pPr>
              <w:pBdr>
                <w:top w:val="nil"/>
                <w:left w:val="nil"/>
                <w:bottom w:val="nil"/>
                <w:right w:val="nil"/>
                <w:between w:val="nil"/>
              </w:pBdr>
              <w:spacing w:before="120" w:after="120" w:line="240" w:lineRule="auto"/>
              <w:jc w:val="center"/>
              <w:rPr>
                <w:rFonts w:ascii="Arial" w:eastAsia="Arial" w:hAnsi="Arial" w:cs="Arial"/>
                <w:b/>
                <w:color w:val="000000"/>
                <w:sz w:val="18"/>
                <w:szCs w:val="18"/>
              </w:rPr>
            </w:pPr>
            <w:r>
              <w:rPr>
                <w:rFonts w:ascii="Arial" w:eastAsia="Arial" w:hAnsi="Arial" w:cs="Arial"/>
                <w:b/>
                <w:color w:val="000000"/>
                <w:sz w:val="18"/>
                <w:szCs w:val="18"/>
              </w:rPr>
              <w:t>X</w:t>
            </w:r>
          </w:p>
        </w:tc>
      </w:tr>
      <w:tr w:rsidR="008A388C" w14:paraId="04EB5C46" w14:textId="77777777" w:rsidTr="00797664">
        <w:trPr>
          <w:jc w:val="center"/>
        </w:trPr>
        <w:tc>
          <w:tcPr>
            <w:tcW w:w="1980" w:type="dxa"/>
            <w:vAlign w:val="center"/>
          </w:tcPr>
          <w:p w14:paraId="26B2A988" w14:textId="77777777" w:rsidR="008A388C" w:rsidRDefault="008A388C" w:rsidP="00797664">
            <w:pPr>
              <w:pBdr>
                <w:top w:val="nil"/>
                <w:left w:val="nil"/>
                <w:bottom w:val="nil"/>
                <w:right w:val="nil"/>
                <w:between w:val="nil"/>
              </w:pBdr>
              <w:spacing w:before="120" w:after="120" w:line="240" w:lineRule="auto"/>
              <w:rPr>
                <w:rFonts w:ascii="Arial" w:eastAsia="Arial" w:hAnsi="Arial" w:cs="Arial"/>
                <w:color w:val="000000"/>
                <w:sz w:val="18"/>
                <w:szCs w:val="18"/>
              </w:rPr>
            </w:pPr>
            <w:r>
              <w:rPr>
                <w:rFonts w:ascii="Arial" w:eastAsia="Arial" w:hAnsi="Arial" w:cs="Arial"/>
                <w:color w:val="000000"/>
                <w:sz w:val="18"/>
                <w:szCs w:val="18"/>
              </w:rPr>
              <w:t>NAV/IND</w:t>
            </w:r>
          </w:p>
        </w:tc>
        <w:tc>
          <w:tcPr>
            <w:tcW w:w="1170" w:type="dxa"/>
            <w:vAlign w:val="center"/>
          </w:tcPr>
          <w:p w14:paraId="2F1E8AE4" w14:textId="77777777" w:rsidR="008A388C" w:rsidRDefault="008A388C" w:rsidP="00797664">
            <w:pPr>
              <w:pBdr>
                <w:top w:val="nil"/>
                <w:left w:val="nil"/>
                <w:bottom w:val="nil"/>
                <w:right w:val="nil"/>
                <w:between w:val="nil"/>
              </w:pBdr>
              <w:spacing w:before="120" w:after="120" w:line="240" w:lineRule="auto"/>
              <w:jc w:val="center"/>
              <w:rPr>
                <w:rFonts w:ascii="Arial" w:eastAsia="Arial" w:hAnsi="Arial" w:cs="Arial"/>
                <w:b/>
                <w:color w:val="000000"/>
                <w:sz w:val="18"/>
                <w:szCs w:val="18"/>
              </w:rPr>
            </w:pPr>
          </w:p>
        </w:tc>
        <w:tc>
          <w:tcPr>
            <w:tcW w:w="1390" w:type="dxa"/>
            <w:vAlign w:val="center"/>
          </w:tcPr>
          <w:p w14:paraId="41C3276B" w14:textId="77777777" w:rsidR="008A388C" w:rsidRDefault="008A388C" w:rsidP="00797664">
            <w:pPr>
              <w:pBdr>
                <w:top w:val="nil"/>
                <w:left w:val="nil"/>
                <w:bottom w:val="nil"/>
                <w:right w:val="nil"/>
                <w:between w:val="nil"/>
              </w:pBdr>
              <w:spacing w:before="120" w:after="120" w:line="240" w:lineRule="auto"/>
              <w:jc w:val="center"/>
              <w:rPr>
                <w:rFonts w:ascii="Arial" w:eastAsia="Arial" w:hAnsi="Arial" w:cs="Arial"/>
                <w:b/>
                <w:color w:val="000000"/>
                <w:sz w:val="18"/>
                <w:szCs w:val="18"/>
              </w:rPr>
            </w:pPr>
          </w:p>
        </w:tc>
        <w:tc>
          <w:tcPr>
            <w:tcW w:w="1220" w:type="dxa"/>
            <w:vAlign w:val="center"/>
          </w:tcPr>
          <w:p w14:paraId="76CBFE7F" w14:textId="77777777" w:rsidR="008A388C" w:rsidRDefault="008A388C" w:rsidP="00797664">
            <w:pPr>
              <w:pBdr>
                <w:top w:val="nil"/>
                <w:left w:val="nil"/>
                <w:bottom w:val="nil"/>
                <w:right w:val="nil"/>
                <w:between w:val="nil"/>
              </w:pBdr>
              <w:spacing w:before="120" w:after="120" w:line="240" w:lineRule="auto"/>
              <w:jc w:val="center"/>
              <w:rPr>
                <w:rFonts w:ascii="Arial" w:eastAsia="Arial" w:hAnsi="Arial" w:cs="Arial"/>
                <w:b/>
                <w:color w:val="000000"/>
                <w:sz w:val="18"/>
                <w:szCs w:val="18"/>
              </w:rPr>
            </w:pPr>
          </w:p>
        </w:tc>
        <w:tc>
          <w:tcPr>
            <w:tcW w:w="1260" w:type="dxa"/>
            <w:vAlign w:val="center"/>
          </w:tcPr>
          <w:p w14:paraId="0AEF4B0C" w14:textId="77777777" w:rsidR="008A388C" w:rsidRDefault="008A388C" w:rsidP="00797664">
            <w:pPr>
              <w:pBdr>
                <w:top w:val="nil"/>
                <w:left w:val="nil"/>
                <w:bottom w:val="nil"/>
                <w:right w:val="nil"/>
                <w:between w:val="nil"/>
              </w:pBdr>
              <w:spacing w:before="120" w:after="120" w:line="240" w:lineRule="auto"/>
              <w:jc w:val="center"/>
              <w:rPr>
                <w:rFonts w:ascii="Arial" w:eastAsia="Arial" w:hAnsi="Arial" w:cs="Arial"/>
                <w:b/>
                <w:color w:val="000000"/>
                <w:sz w:val="18"/>
                <w:szCs w:val="18"/>
              </w:rPr>
            </w:pPr>
          </w:p>
        </w:tc>
        <w:tc>
          <w:tcPr>
            <w:tcW w:w="1390" w:type="dxa"/>
            <w:vAlign w:val="center"/>
          </w:tcPr>
          <w:p w14:paraId="191EB70C" w14:textId="77777777" w:rsidR="008A388C" w:rsidRDefault="008A388C" w:rsidP="00797664">
            <w:pPr>
              <w:pBdr>
                <w:top w:val="nil"/>
                <w:left w:val="nil"/>
                <w:bottom w:val="nil"/>
                <w:right w:val="nil"/>
                <w:between w:val="nil"/>
              </w:pBdr>
              <w:spacing w:before="120" w:after="120" w:line="240" w:lineRule="auto"/>
              <w:jc w:val="center"/>
              <w:rPr>
                <w:rFonts w:ascii="Arial" w:eastAsia="Arial" w:hAnsi="Arial" w:cs="Arial"/>
                <w:b/>
                <w:color w:val="000000"/>
                <w:sz w:val="18"/>
                <w:szCs w:val="18"/>
              </w:rPr>
            </w:pPr>
            <w:r>
              <w:rPr>
                <w:rFonts w:ascii="Arial" w:eastAsia="Arial" w:hAnsi="Arial" w:cs="Arial"/>
                <w:b/>
                <w:color w:val="000000"/>
                <w:sz w:val="18"/>
                <w:szCs w:val="18"/>
              </w:rPr>
              <w:t>X</w:t>
            </w:r>
          </w:p>
        </w:tc>
        <w:tc>
          <w:tcPr>
            <w:tcW w:w="1130" w:type="dxa"/>
            <w:vAlign w:val="center"/>
          </w:tcPr>
          <w:p w14:paraId="4A60F6DD" w14:textId="77777777" w:rsidR="008A388C" w:rsidRDefault="008A388C" w:rsidP="00797664">
            <w:pPr>
              <w:pBdr>
                <w:top w:val="nil"/>
                <w:left w:val="nil"/>
                <w:bottom w:val="nil"/>
                <w:right w:val="nil"/>
                <w:between w:val="nil"/>
              </w:pBdr>
              <w:spacing w:before="120" w:after="120" w:line="240" w:lineRule="auto"/>
              <w:jc w:val="center"/>
              <w:rPr>
                <w:rFonts w:ascii="Arial" w:eastAsia="Arial" w:hAnsi="Arial" w:cs="Arial"/>
                <w:b/>
                <w:color w:val="000000"/>
                <w:sz w:val="18"/>
                <w:szCs w:val="18"/>
              </w:rPr>
            </w:pPr>
          </w:p>
        </w:tc>
      </w:tr>
      <w:tr w:rsidR="008A388C" w14:paraId="359889F9" w14:textId="77777777" w:rsidTr="00797664">
        <w:trPr>
          <w:jc w:val="center"/>
        </w:trPr>
        <w:tc>
          <w:tcPr>
            <w:tcW w:w="1980" w:type="dxa"/>
            <w:vAlign w:val="center"/>
          </w:tcPr>
          <w:p w14:paraId="543F90B1" w14:textId="77777777" w:rsidR="008A388C" w:rsidRDefault="008A388C" w:rsidP="00797664">
            <w:pPr>
              <w:pBdr>
                <w:top w:val="nil"/>
                <w:left w:val="nil"/>
                <w:bottom w:val="nil"/>
                <w:right w:val="nil"/>
                <w:between w:val="nil"/>
              </w:pBdr>
              <w:spacing w:before="120" w:after="120" w:line="240" w:lineRule="auto"/>
              <w:rPr>
                <w:rFonts w:ascii="Arial" w:eastAsia="Arial" w:hAnsi="Arial" w:cs="Arial"/>
                <w:color w:val="000000"/>
                <w:sz w:val="18"/>
                <w:szCs w:val="18"/>
              </w:rPr>
            </w:pPr>
            <w:r>
              <w:rPr>
                <w:rFonts w:ascii="Arial" w:eastAsia="Arial" w:hAnsi="Arial" w:cs="Arial"/>
                <w:color w:val="000000"/>
                <w:sz w:val="18"/>
                <w:szCs w:val="18"/>
              </w:rPr>
              <w:t>REC-1</w:t>
            </w:r>
          </w:p>
        </w:tc>
        <w:tc>
          <w:tcPr>
            <w:tcW w:w="1170" w:type="dxa"/>
            <w:vAlign w:val="center"/>
          </w:tcPr>
          <w:p w14:paraId="259EB709" w14:textId="77777777" w:rsidR="008A388C" w:rsidRDefault="008A388C" w:rsidP="00797664">
            <w:pPr>
              <w:pBdr>
                <w:top w:val="nil"/>
                <w:left w:val="nil"/>
                <w:bottom w:val="nil"/>
                <w:right w:val="nil"/>
                <w:between w:val="nil"/>
              </w:pBdr>
              <w:spacing w:before="120" w:after="120" w:line="240" w:lineRule="auto"/>
              <w:jc w:val="center"/>
              <w:rPr>
                <w:rFonts w:ascii="Arial" w:eastAsia="Arial" w:hAnsi="Arial" w:cs="Arial"/>
                <w:b/>
                <w:color w:val="000000"/>
                <w:sz w:val="18"/>
                <w:szCs w:val="18"/>
              </w:rPr>
            </w:pPr>
          </w:p>
        </w:tc>
        <w:tc>
          <w:tcPr>
            <w:tcW w:w="1390" w:type="dxa"/>
            <w:vAlign w:val="center"/>
          </w:tcPr>
          <w:p w14:paraId="54E09ADA" w14:textId="77777777" w:rsidR="008A388C" w:rsidRDefault="008A388C" w:rsidP="00797664">
            <w:pPr>
              <w:pBdr>
                <w:top w:val="nil"/>
                <w:left w:val="nil"/>
                <w:bottom w:val="nil"/>
                <w:right w:val="nil"/>
                <w:between w:val="nil"/>
              </w:pBdr>
              <w:spacing w:before="120" w:after="120" w:line="240" w:lineRule="auto"/>
              <w:jc w:val="center"/>
              <w:rPr>
                <w:rFonts w:ascii="Arial" w:eastAsia="Arial" w:hAnsi="Arial" w:cs="Arial"/>
                <w:b/>
                <w:color w:val="000000"/>
                <w:sz w:val="18"/>
                <w:szCs w:val="18"/>
              </w:rPr>
            </w:pPr>
          </w:p>
        </w:tc>
        <w:tc>
          <w:tcPr>
            <w:tcW w:w="1220" w:type="dxa"/>
            <w:vAlign w:val="center"/>
          </w:tcPr>
          <w:p w14:paraId="47A17B15" w14:textId="77777777" w:rsidR="008A388C" w:rsidRDefault="008A388C" w:rsidP="00797664">
            <w:pPr>
              <w:pBdr>
                <w:top w:val="nil"/>
                <w:left w:val="nil"/>
                <w:bottom w:val="nil"/>
                <w:right w:val="nil"/>
                <w:between w:val="nil"/>
              </w:pBdr>
              <w:spacing w:before="120" w:after="120" w:line="240" w:lineRule="auto"/>
              <w:jc w:val="center"/>
              <w:rPr>
                <w:rFonts w:ascii="Arial" w:eastAsia="Arial" w:hAnsi="Arial" w:cs="Arial"/>
                <w:b/>
                <w:color w:val="000000"/>
                <w:sz w:val="18"/>
                <w:szCs w:val="18"/>
              </w:rPr>
            </w:pPr>
            <w:r>
              <w:rPr>
                <w:rFonts w:ascii="Arial" w:eastAsia="Arial" w:hAnsi="Arial" w:cs="Arial"/>
                <w:b/>
                <w:color w:val="000000"/>
                <w:sz w:val="18"/>
                <w:szCs w:val="18"/>
              </w:rPr>
              <w:t>X</w:t>
            </w:r>
          </w:p>
        </w:tc>
        <w:tc>
          <w:tcPr>
            <w:tcW w:w="1260" w:type="dxa"/>
            <w:vAlign w:val="center"/>
          </w:tcPr>
          <w:p w14:paraId="18FB9EF6" w14:textId="77777777" w:rsidR="008A388C" w:rsidRDefault="008A388C" w:rsidP="00797664">
            <w:pPr>
              <w:pBdr>
                <w:top w:val="nil"/>
                <w:left w:val="nil"/>
                <w:bottom w:val="nil"/>
                <w:right w:val="nil"/>
                <w:between w:val="nil"/>
              </w:pBdr>
              <w:spacing w:before="120" w:after="120" w:line="240" w:lineRule="auto"/>
              <w:jc w:val="center"/>
              <w:rPr>
                <w:rFonts w:ascii="Arial" w:eastAsia="Arial" w:hAnsi="Arial" w:cs="Arial"/>
                <w:b/>
                <w:color w:val="000000"/>
                <w:sz w:val="18"/>
                <w:szCs w:val="18"/>
              </w:rPr>
            </w:pPr>
            <w:r>
              <w:rPr>
                <w:rFonts w:ascii="Arial" w:eastAsia="Arial" w:hAnsi="Arial" w:cs="Arial"/>
                <w:b/>
                <w:color w:val="000000"/>
                <w:sz w:val="18"/>
                <w:szCs w:val="18"/>
              </w:rPr>
              <w:t>X</w:t>
            </w:r>
          </w:p>
        </w:tc>
        <w:tc>
          <w:tcPr>
            <w:tcW w:w="1390" w:type="dxa"/>
            <w:vAlign w:val="center"/>
          </w:tcPr>
          <w:p w14:paraId="080DFE0A" w14:textId="77777777" w:rsidR="008A388C" w:rsidRDefault="008A388C" w:rsidP="00797664">
            <w:pPr>
              <w:pBdr>
                <w:top w:val="nil"/>
                <w:left w:val="nil"/>
                <w:bottom w:val="nil"/>
                <w:right w:val="nil"/>
                <w:between w:val="nil"/>
              </w:pBdr>
              <w:spacing w:before="120" w:after="120" w:line="240" w:lineRule="auto"/>
              <w:jc w:val="center"/>
              <w:rPr>
                <w:rFonts w:ascii="Arial" w:eastAsia="Arial" w:hAnsi="Arial" w:cs="Arial"/>
                <w:b/>
                <w:color w:val="000000"/>
                <w:sz w:val="18"/>
                <w:szCs w:val="18"/>
              </w:rPr>
            </w:pPr>
          </w:p>
        </w:tc>
        <w:tc>
          <w:tcPr>
            <w:tcW w:w="1130" w:type="dxa"/>
            <w:vAlign w:val="center"/>
          </w:tcPr>
          <w:p w14:paraId="1BD781BA" w14:textId="77777777" w:rsidR="008A388C" w:rsidRDefault="008A388C" w:rsidP="00797664">
            <w:pPr>
              <w:pBdr>
                <w:top w:val="nil"/>
                <w:left w:val="nil"/>
                <w:bottom w:val="nil"/>
                <w:right w:val="nil"/>
                <w:between w:val="nil"/>
              </w:pBdr>
              <w:spacing w:before="120" w:after="120" w:line="240" w:lineRule="auto"/>
              <w:jc w:val="center"/>
              <w:rPr>
                <w:rFonts w:ascii="Arial" w:eastAsia="Arial" w:hAnsi="Arial" w:cs="Arial"/>
                <w:b/>
                <w:color w:val="000000"/>
                <w:sz w:val="18"/>
                <w:szCs w:val="18"/>
              </w:rPr>
            </w:pPr>
            <w:r>
              <w:rPr>
                <w:rFonts w:ascii="Arial" w:eastAsia="Arial" w:hAnsi="Arial" w:cs="Arial"/>
                <w:b/>
                <w:color w:val="000000"/>
                <w:sz w:val="18"/>
                <w:szCs w:val="18"/>
              </w:rPr>
              <w:t>X</w:t>
            </w:r>
          </w:p>
        </w:tc>
      </w:tr>
      <w:tr w:rsidR="008A388C" w14:paraId="1730D1E5" w14:textId="77777777" w:rsidTr="00797664">
        <w:trPr>
          <w:jc w:val="center"/>
        </w:trPr>
        <w:tc>
          <w:tcPr>
            <w:tcW w:w="1980" w:type="dxa"/>
            <w:vAlign w:val="center"/>
          </w:tcPr>
          <w:p w14:paraId="37F1E149" w14:textId="77777777" w:rsidR="008A388C" w:rsidRDefault="008A388C" w:rsidP="00797664">
            <w:pPr>
              <w:pBdr>
                <w:top w:val="nil"/>
                <w:left w:val="nil"/>
                <w:bottom w:val="nil"/>
                <w:right w:val="nil"/>
                <w:between w:val="nil"/>
              </w:pBdr>
              <w:spacing w:before="120" w:after="120" w:line="240" w:lineRule="auto"/>
              <w:rPr>
                <w:rFonts w:ascii="Arial" w:eastAsia="Arial" w:hAnsi="Arial" w:cs="Arial"/>
                <w:color w:val="000000"/>
                <w:sz w:val="18"/>
                <w:szCs w:val="18"/>
              </w:rPr>
            </w:pPr>
            <w:r>
              <w:rPr>
                <w:rFonts w:ascii="Arial" w:eastAsia="Arial" w:hAnsi="Arial" w:cs="Arial"/>
                <w:color w:val="000000"/>
                <w:sz w:val="18"/>
                <w:szCs w:val="18"/>
              </w:rPr>
              <w:t>REC-2</w:t>
            </w:r>
          </w:p>
        </w:tc>
        <w:tc>
          <w:tcPr>
            <w:tcW w:w="1170" w:type="dxa"/>
            <w:vAlign w:val="center"/>
          </w:tcPr>
          <w:p w14:paraId="555C8077" w14:textId="77777777" w:rsidR="008A388C" w:rsidRDefault="008A388C" w:rsidP="00797664">
            <w:pPr>
              <w:pBdr>
                <w:top w:val="nil"/>
                <w:left w:val="nil"/>
                <w:bottom w:val="nil"/>
                <w:right w:val="nil"/>
                <w:between w:val="nil"/>
              </w:pBdr>
              <w:spacing w:before="120" w:after="120" w:line="240" w:lineRule="auto"/>
              <w:jc w:val="center"/>
              <w:rPr>
                <w:rFonts w:ascii="Arial" w:eastAsia="Arial" w:hAnsi="Arial" w:cs="Arial"/>
                <w:b/>
                <w:color w:val="000000"/>
                <w:sz w:val="18"/>
                <w:szCs w:val="18"/>
              </w:rPr>
            </w:pPr>
            <w:r>
              <w:rPr>
                <w:rFonts w:ascii="Arial" w:eastAsia="Arial" w:hAnsi="Arial" w:cs="Arial"/>
                <w:b/>
                <w:color w:val="000000"/>
                <w:sz w:val="18"/>
                <w:szCs w:val="18"/>
              </w:rPr>
              <w:t>X</w:t>
            </w:r>
          </w:p>
        </w:tc>
        <w:tc>
          <w:tcPr>
            <w:tcW w:w="1390" w:type="dxa"/>
            <w:vAlign w:val="center"/>
          </w:tcPr>
          <w:p w14:paraId="58B931FE" w14:textId="77777777" w:rsidR="008A388C" w:rsidRDefault="008A388C" w:rsidP="00797664">
            <w:pPr>
              <w:pBdr>
                <w:top w:val="nil"/>
                <w:left w:val="nil"/>
                <w:bottom w:val="nil"/>
                <w:right w:val="nil"/>
                <w:between w:val="nil"/>
              </w:pBdr>
              <w:spacing w:before="120" w:after="120" w:line="240" w:lineRule="auto"/>
              <w:jc w:val="center"/>
              <w:rPr>
                <w:rFonts w:ascii="Arial" w:eastAsia="Arial" w:hAnsi="Arial" w:cs="Arial"/>
                <w:b/>
                <w:color w:val="000000"/>
                <w:sz w:val="18"/>
                <w:szCs w:val="18"/>
              </w:rPr>
            </w:pPr>
            <w:r>
              <w:rPr>
                <w:rFonts w:ascii="Arial" w:eastAsia="Arial" w:hAnsi="Arial" w:cs="Arial"/>
                <w:b/>
                <w:color w:val="000000"/>
                <w:sz w:val="18"/>
                <w:szCs w:val="18"/>
              </w:rPr>
              <w:t>X</w:t>
            </w:r>
          </w:p>
        </w:tc>
        <w:tc>
          <w:tcPr>
            <w:tcW w:w="1220" w:type="dxa"/>
            <w:vAlign w:val="center"/>
          </w:tcPr>
          <w:p w14:paraId="53BFB22B" w14:textId="77777777" w:rsidR="008A388C" w:rsidRDefault="008A388C" w:rsidP="00797664">
            <w:pPr>
              <w:pBdr>
                <w:top w:val="nil"/>
                <w:left w:val="nil"/>
                <w:bottom w:val="nil"/>
                <w:right w:val="nil"/>
                <w:between w:val="nil"/>
              </w:pBdr>
              <w:spacing w:before="120" w:after="120" w:line="240" w:lineRule="auto"/>
              <w:jc w:val="center"/>
              <w:rPr>
                <w:rFonts w:ascii="Arial" w:eastAsia="Arial" w:hAnsi="Arial" w:cs="Arial"/>
                <w:b/>
                <w:color w:val="000000"/>
                <w:sz w:val="18"/>
                <w:szCs w:val="18"/>
              </w:rPr>
            </w:pPr>
            <w:r>
              <w:rPr>
                <w:rFonts w:ascii="Arial" w:eastAsia="Arial" w:hAnsi="Arial" w:cs="Arial"/>
                <w:b/>
                <w:color w:val="000000"/>
                <w:sz w:val="18"/>
                <w:szCs w:val="18"/>
              </w:rPr>
              <w:t>X</w:t>
            </w:r>
          </w:p>
        </w:tc>
        <w:tc>
          <w:tcPr>
            <w:tcW w:w="1260" w:type="dxa"/>
            <w:vAlign w:val="center"/>
          </w:tcPr>
          <w:p w14:paraId="7C22EDBD" w14:textId="77777777" w:rsidR="008A388C" w:rsidRDefault="008A388C" w:rsidP="00797664">
            <w:pPr>
              <w:pBdr>
                <w:top w:val="nil"/>
                <w:left w:val="nil"/>
                <w:bottom w:val="nil"/>
                <w:right w:val="nil"/>
                <w:between w:val="nil"/>
              </w:pBdr>
              <w:spacing w:before="120" w:after="120" w:line="240" w:lineRule="auto"/>
              <w:jc w:val="center"/>
              <w:rPr>
                <w:rFonts w:ascii="Arial" w:eastAsia="Arial" w:hAnsi="Arial" w:cs="Arial"/>
                <w:b/>
                <w:color w:val="000000"/>
                <w:sz w:val="18"/>
                <w:szCs w:val="18"/>
              </w:rPr>
            </w:pPr>
            <w:r>
              <w:rPr>
                <w:rFonts w:ascii="Arial" w:eastAsia="Arial" w:hAnsi="Arial" w:cs="Arial"/>
                <w:b/>
                <w:color w:val="000000"/>
                <w:sz w:val="18"/>
                <w:szCs w:val="18"/>
              </w:rPr>
              <w:t>X</w:t>
            </w:r>
          </w:p>
        </w:tc>
        <w:tc>
          <w:tcPr>
            <w:tcW w:w="1390" w:type="dxa"/>
            <w:vAlign w:val="center"/>
          </w:tcPr>
          <w:p w14:paraId="63076EDC" w14:textId="77777777" w:rsidR="008A388C" w:rsidRDefault="008A388C" w:rsidP="00797664">
            <w:pPr>
              <w:pBdr>
                <w:top w:val="nil"/>
                <w:left w:val="nil"/>
                <w:bottom w:val="nil"/>
                <w:right w:val="nil"/>
                <w:between w:val="nil"/>
              </w:pBdr>
              <w:spacing w:before="120" w:after="120" w:line="240" w:lineRule="auto"/>
              <w:jc w:val="center"/>
              <w:rPr>
                <w:rFonts w:ascii="Arial" w:eastAsia="Arial" w:hAnsi="Arial" w:cs="Arial"/>
                <w:b/>
                <w:color w:val="000000"/>
                <w:sz w:val="18"/>
                <w:szCs w:val="18"/>
              </w:rPr>
            </w:pPr>
          </w:p>
        </w:tc>
        <w:tc>
          <w:tcPr>
            <w:tcW w:w="1130" w:type="dxa"/>
            <w:vAlign w:val="center"/>
          </w:tcPr>
          <w:p w14:paraId="2F34C9DC" w14:textId="77777777" w:rsidR="008A388C" w:rsidRDefault="008A388C" w:rsidP="00797664">
            <w:pPr>
              <w:pBdr>
                <w:top w:val="nil"/>
                <w:left w:val="nil"/>
                <w:bottom w:val="nil"/>
                <w:right w:val="nil"/>
                <w:between w:val="nil"/>
              </w:pBdr>
              <w:spacing w:before="120" w:after="120" w:line="240" w:lineRule="auto"/>
              <w:jc w:val="center"/>
              <w:rPr>
                <w:rFonts w:ascii="Arial" w:eastAsia="Arial" w:hAnsi="Arial" w:cs="Arial"/>
                <w:b/>
                <w:color w:val="000000"/>
                <w:sz w:val="18"/>
                <w:szCs w:val="18"/>
              </w:rPr>
            </w:pPr>
            <w:r>
              <w:rPr>
                <w:rFonts w:ascii="Arial" w:eastAsia="Arial" w:hAnsi="Arial" w:cs="Arial"/>
                <w:b/>
                <w:color w:val="000000"/>
                <w:sz w:val="18"/>
                <w:szCs w:val="18"/>
              </w:rPr>
              <w:t>X</w:t>
            </w:r>
          </w:p>
        </w:tc>
      </w:tr>
    </w:tbl>
    <w:p w14:paraId="46F0F0EB" w14:textId="77777777" w:rsidR="008A388C" w:rsidRDefault="008A388C" w:rsidP="008A388C">
      <w:pPr>
        <w:pBdr>
          <w:top w:val="nil"/>
          <w:left w:val="nil"/>
          <w:bottom w:val="nil"/>
          <w:right w:val="nil"/>
          <w:between w:val="nil"/>
        </w:pBdr>
        <w:spacing w:before="60" w:after="0" w:line="240" w:lineRule="auto"/>
        <w:rPr>
          <w:rFonts w:ascii="Arial" w:eastAsia="Arial" w:hAnsi="Arial" w:cs="Arial"/>
          <w:color w:val="000000"/>
          <w:sz w:val="18"/>
          <w:szCs w:val="18"/>
        </w:rPr>
      </w:pPr>
      <w:r>
        <w:rPr>
          <w:rFonts w:ascii="Arial" w:eastAsia="Arial" w:hAnsi="Arial" w:cs="Arial"/>
          <w:color w:val="000000"/>
          <w:sz w:val="18"/>
          <w:szCs w:val="18"/>
        </w:rPr>
        <w:t xml:space="preserve">Note: This table attempts to highlight the </w:t>
      </w:r>
      <w:r>
        <w:rPr>
          <w:rFonts w:ascii="Arial" w:eastAsia="Arial" w:hAnsi="Arial" w:cs="Arial"/>
          <w:i/>
          <w:color w:val="000000"/>
          <w:sz w:val="18"/>
          <w:szCs w:val="18"/>
        </w:rPr>
        <w:t>major</w:t>
      </w:r>
      <w:r>
        <w:rPr>
          <w:rFonts w:ascii="Arial" w:eastAsia="Arial" w:hAnsi="Arial" w:cs="Arial"/>
          <w:color w:val="000000"/>
          <w:sz w:val="18"/>
          <w:szCs w:val="18"/>
        </w:rPr>
        <w:t xml:space="preserve"> stressor-response factors associated with a specific beneficial use.  Additional stressor-response relationships may also affect use support but are judged to be less likely as a primary cause of impairment of that use.  </w:t>
      </w:r>
    </w:p>
    <w:p w14:paraId="24574017" w14:textId="77777777" w:rsidR="008A388C" w:rsidRDefault="008A388C" w:rsidP="008A388C">
      <w:pPr>
        <w:spacing w:after="80" w:line="240" w:lineRule="auto"/>
      </w:pPr>
    </w:p>
    <w:p w14:paraId="4242683B" w14:textId="77777777" w:rsidR="008A388C" w:rsidRDefault="008A388C" w:rsidP="008A388C">
      <w:pPr>
        <w:pBdr>
          <w:top w:val="nil"/>
          <w:left w:val="nil"/>
          <w:bottom w:val="nil"/>
          <w:right w:val="nil"/>
          <w:between w:val="nil"/>
        </w:pBdr>
        <w:spacing w:after="0"/>
        <w:jc w:val="both"/>
        <w:rPr>
          <w:color w:val="000000"/>
        </w:rPr>
      </w:pPr>
    </w:p>
    <w:p w14:paraId="08A569EB" w14:textId="53C6F4D6" w:rsidR="008A388C" w:rsidRDefault="008A388C" w:rsidP="008A388C">
      <w:pPr>
        <w:pStyle w:val="TOT"/>
        <w:rPr>
          <w:rFonts w:eastAsia="Arial"/>
        </w:rPr>
      </w:pPr>
      <w:bookmarkStart w:id="55" w:name="_Toc526428310"/>
      <w:r>
        <w:rPr>
          <w:rFonts w:eastAsia="Arial"/>
        </w:rPr>
        <w:t>Table 2.3.  Linkage of generic indicator groups to pathways of increased risk of beneficial use impairment. Precise metric used to measure response indicator may vary by waterbody type.</w:t>
      </w:r>
      <w:bookmarkEnd w:id="55"/>
      <w:r>
        <w:rPr>
          <w:rFonts w:eastAsia="Arial"/>
        </w:rPr>
        <w:t xml:space="preserve"> </w:t>
      </w:r>
    </w:p>
    <w:tbl>
      <w:tblPr>
        <w:tblW w:w="9630" w:type="dxa"/>
        <w:jc w:val="center"/>
        <w:tblBorders>
          <w:top w:val="single" w:sz="12" w:space="0" w:color="000000"/>
          <w:bottom w:val="single" w:sz="12" w:space="0" w:color="000000"/>
        </w:tblBorders>
        <w:tblLayout w:type="fixed"/>
        <w:tblCellMar>
          <w:top w:w="14" w:type="dxa"/>
          <w:left w:w="72" w:type="dxa"/>
          <w:bottom w:w="14" w:type="dxa"/>
          <w:right w:w="72" w:type="dxa"/>
        </w:tblCellMar>
        <w:tblLook w:val="0000" w:firstRow="0" w:lastRow="0" w:firstColumn="0" w:lastColumn="0" w:noHBand="0" w:noVBand="0"/>
      </w:tblPr>
      <w:tblGrid>
        <w:gridCol w:w="2340"/>
        <w:gridCol w:w="1260"/>
        <w:gridCol w:w="1350"/>
        <w:gridCol w:w="1170"/>
        <w:gridCol w:w="1080"/>
        <w:gridCol w:w="1170"/>
        <w:gridCol w:w="1260"/>
      </w:tblGrid>
      <w:tr w:rsidR="008A388C" w14:paraId="1D6114E5" w14:textId="77777777" w:rsidTr="00797664">
        <w:trPr>
          <w:jc w:val="center"/>
        </w:trPr>
        <w:tc>
          <w:tcPr>
            <w:tcW w:w="2340" w:type="dxa"/>
            <w:tcBorders>
              <w:top w:val="single" w:sz="4" w:space="0" w:color="000000"/>
              <w:bottom w:val="single" w:sz="4" w:space="0" w:color="000000"/>
            </w:tcBorders>
            <w:shd w:val="clear" w:color="auto" w:fill="auto"/>
            <w:vAlign w:val="center"/>
          </w:tcPr>
          <w:p w14:paraId="4CDCFE9D" w14:textId="77777777" w:rsidR="008A388C" w:rsidRDefault="008A388C" w:rsidP="00797664">
            <w:pPr>
              <w:pBdr>
                <w:top w:val="nil"/>
                <w:left w:val="nil"/>
                <w:bottom w:val="nil"/>
                <w:right w:val="nil"/>
                <w:between w:val="nil"/>
              </w:pBdr>
              <w:spacing w:before="60" w:after="60" w:line="240" w:lineRule="auto"/>
              <w:jc w:val="center"/>
              <w:rPr>
                <w:rFonts w:ascii="Arial" w:eastAsia="Arial" w:hAnsi="Arial" w:cs="Arial"/>
                <w:b/>
                <w:color w:val="000000"/>
                <w:sz w:val="18"/>
                <w:szCs w:val="18"/>
              </w:rPr>
            </w:pPr>
            <w:r>
              <w:rPr>
                <w:rFonts w:ascii="Arial" w:eastAsia="Arial" w:hAnsi="Arial" w:cs="Arial"/>
                <w:b/>
                <w:color w:val="000000"/>
                <w:sz w:val="18"/>
                <w:szCs w:val="18"/>
              </w:rPr>
              <w:t>Response Indicator</w:t>
            </w:r>
          </w:p>
        </w:tc>
        <w:tc>
          <w:tcPr>
            <w:tcW w:w="1260" w:type="dxa"/>
            <w:tcBorders>
              <w:top w:val="single" w:sz="4" w:space="0" w:color="000000"/>
              <w:bottom w:val="single" w:sz="4" w:space="0" w:color="000000"/>
            </w:tcBorders>
            <w:shd w:val="clear" w:color="auto" w:fill="auto"/>
            <w:tcMar>
              <w:left w:w="43" w:type="dxa"/>
              <w:right w:w="43" w:type="dxa"/>
            </w:tcMar>
            <w:vAlign w:val="center"/>
          </w:tcPr>
          <w:p w14:paraId="5520A73F" w14:textId="77777777" w:rsidR="008A388C" w:rsidRDefault="008A388C" w:rsidP="00797664">
            <w:pPr>
              <w:pBdr>
                <w:top w:val="nil"/>
                <w:left w:val="nil"/>
                <w:bottom w:val="nil"/>
                <w:right w:val="nil"/>
                <w:between w:val="nil"/>
              </w:pBdr>
              <w:spacing w:before="60" w:after="60" w:line="240" w:lineRule="auto"/>
              <w:jc w:val="center"/>
              <w:rPr>
                <w:rFonts w:ascii="Arial" w:eastAsia="Arial" w:hAnsi="Arial" w:cs="Arial"/>
                <w:b/>
                <w:color w:val="000000"/>
                <w:sz w:val="18"/>
                <w:szCs w:val="18"/>
              </w:rPr>
            </w:pPr>
            <w:r>
              <w:rPr>
                <w:rFonts w:ascii="Arial" w:eastAsia="Arial" w:hAnsi="Arial" w:cs="Arial"/>
                <w:b/>
                <w:color w:val="000000"/>
                <w:sz w:val="18"/>
                <w:szCs w:val="18"/>
              </w:rPr>
              <w:t>Altered Aquatic Life</w:t>
            </w:r>
          </w:p>
        </w:tc>
        <w:tc>
          <w:tcPr>
            <w:tcW w:w="1350" w:type="dxa"/>
            <w:tcBorders>
              <w:top w:val="single" w:sz="4" w:space="0" w:color="000000"/>
              <w:bottom w:val="single" w:sz="4" w:space="0" w:color="000000"/>
            </w:tcBorders>
            <w:shd w:val="clear" w:color="auto" w:fill="auto"/>
            <w:tcMar>
              <w:left w:w="43" w:type="dxa"/>
              <w:right w:w="43" w:type="dxa"/>
            </w:tcMar>
            <w:vAlign w:val="center"/>
          </w:tcPr>
          <w:p w14:paraId="60BD1066" w14:textId="77777777" w:rsidR="008A388C" w:rsidRDefault="008A388C" w:rsidP="00797664">
            <w:pPr>
              <w:pBdr>
                <w:top w:val="nil"/>
                <w:left w:val="nil"/>
                <w:bottom w:val="nil"/>
                <w:right w:val="nil"/>
                <w:between w:val="nil"/>
              </w:pBdr>
              <w:spacing w:before="60" w:after="60" w:line="240" w:lineRule="auto"/>
              <w:jc w:val="center"/>
              <w:rPr>
                <w:rFonts w:ascii="Arial" w:eastAsia="Arial" w:hAnsi="Arial" w:cs="Arial"/>
                <w:b/>
                <w:color w:val="000000"/>
                <w:sz w:val="18"/>
                <w:szCs w:val="18"/>
              </w:rPr>
            </w:pPr>
            <w:r>
              <w:rPr>
                <w:rFonts w:ascii="Arial" w:eastAsia="Arial" w:hAnsi="Arial" w:cs="Arial"/>
                <w:b/>
                <w:color w:val="000000"/>
                <w:sz w:val="18"/>
                <w:szCs w:val="18"/>
              </w:rPr>
              <w:t>Contaminated or Low Yield Fisheries</w:t>
            </w:r>
          </w:p>
        </w:tc>
        <w:tc>
          <w:tcPr>
            <w:tcW w:w="1170" w:type="dxa"/>
            <w:tcBorders>
              <w:top w:val="single" w:sz="4" w:space="0" w:color="000000"/>
              <w:bottom w:val="single" w:sz="4" w:space="0" w:color="000000"/>
            </w:tcBorders>
            <w:shd w:val="clear" w:color="auto" w:fill="auto"/>
            <w:tcMar>
              <w:left w:w="43" w:type="dxa"/>
              <w:right w:w="43" w:type="dxa"/>
            </w:tcMar>
            <w:vAlign w:val="center"/>
          </w:tcPr>
          <w:p w14:paraId="502B0434" w14:textId="77777777" w:rsidR="008A388C" w:rsidRDefault="008A388C" w:rsidP="00797664">
            <w:pPr>
              <w:pBdr>
                <w:top w:val="nil"/>
                <w:left w:val="nil"/>
                <w:bottom w:val="nil"/>
                <w:right w:val="nil"/>
                <w:between w:val="nil"/>
              </w:pBdr>
              <w:spacing w:before="60" w:after="60" w:line="240" w:lineRule="auto"/>
              <w:jc w:val="center"/>
              <w:rPr>
                <w:rFonts w:ascii="Arial" w:eastAsia="Arial" w:hAnsi="Arial" w:cs="Arial"/>
                <w:b/>
                <w:color w:val="000000"/>
                <w:sz w:val="18"/>
                <w:szCs w:val="18"/>
              </w:rPr>
            </w:pPr>
            <w:r>
              <w:rPr>
                <w:rFonts w:ascii="Arial" w:eastAsia="Arial" w:hAnsi="Arial" w:cs="Arial"/>
                <w:b/>
                <w:color w:val="000000"/>
                <w:sz w:val="18"/>
                <w:szCs w:val="18"/>
              </w:rPr>
              <w:t>Poor Taste and Odor</w:t>
            </w:r>
          </w:p>
        </w:tc>
        <w:tc>
          <w:tcPr>
            <w:tcW w:w="1080" w:type="dxa"/>
            <w:tcBorders>
              <w:top w:val="single" w:sz="4" w:space="0" w:color="000000"/>
              <w:bottom w:val="single" w:sz="4" w:space="0" w:color="000000"/>
            </w:tcBorders>
            <w:shd w:val="clear" w:color="auto" w:fill="auto"/>
            <w:tcMar>
              <w:left w:w="43" w:type="dxa"/>
              <w:right w:w="43" w:type="dxa"/>
            </w:tcMar>
            <w:vAlign w:val="center"/>
          </w:tcPr>
          <w:p w14:paraId="1D4D0EFE" w14:textId="77777777" w:rsidR="008A388C" w:rsidRDefault="008A388C" w:rsidP="00797664">
            <w:pPr>
              <w:pBdr>
                <w:top w:val="nil"/>
                <w:left w:val="nil"/>
                <w:bottom w:val="nil"/>
                <w:right w:val="nil"/>
                <w:between w:val="nil"/>
              </w:pBdr>
              <w:spacing w:before="60" w:after="60" w:line="240" w:lineRule="auto"/>
              <w:jc w:val="center"/>
              <w:rPr>
                <w:rFonts w:ascii="Arial" w:eastAsia="Arial" w:hAnsi="Arial" w:cs="Arial"/>
                <w:b/>
                <w:color w:val="000000"/>
                <w:sz w:val="18"/>
                <w:szCs w:val="18"/>
              </w:rPr>
            </w:pPr>
            <w:r>
              <w:rPr>
                <w:rFonts w:ascii="Arial" w:eastAsia="Arial" w:hAnsi="Arial" w:cs="Arial"/>
                <w:b/>
                <w:color w:val="000000"/>
                <w:sz w:val="18"/>
                <w:szCs w:val="18"/>
              </w:rPr>
              <w:t>Poor Aesthetics</w:t>
            </w:r>
          </w:p>
        </w:tc>
        <w:tc>
          <w:tcPr>
            <w:tcW w:w="1170" w:type="dxa"/>
            <w:tcBorders>
              <w:top w:val="single" w:sz="4" w:space="0" w:color="000000"/>
              <w:bottom w:val="single" w:sz="4" w:space="0" w:color="000000"/>
            </w:tcBorders>
            <w:shd w:val="clear" w:color="auto" w:fill="auto"/>
            <w:tcMar>
              <w:left w:w="43" w:type="dxa"/>
              <w:right w:w="43" w:type="dxa"/>
            </w:tcMar>
            <w:vAlign w:val="center"/>
          </w:tcPr>
          <w:p w14:paraId="3044E06B" w14:textId="77777777" w:rsidR="008A388C" w:rsidRDefault="008A388C" w:rsidP="00797664">
            <w:pPr>
              <w:pBdr>
                <w:top w:val="nil"/>
                <w:left w:val="nil"/>
                <w:bottom w:val="nil"/>
                <w:right w:val="nil"/>
                <w:between w:val="nil"/>
              </w:pBdr>
              <w:spacing w:before="60" w:after="60" w:line="240" w:lineRule="auto"/>
              <w:jc w:val="center"/>
              <w:rPr>
                <w:rFonts w:ascii="Arial" w:eastAsia="Arial" w:hAnsi="Arial" w:cs="Arial"/>
                <w:b/>
                <w:color w:val="000000"/>
                <w:sz w:val="18"/>
                <w:szCs w:val="18"/>
              </w:rPr>
            </w:pPr>
            <w:r>
              <w:rPr>
                <w:rFonts w:ascii="Arial" w:eastAsia="Arial" w:hAnsi="Arial" w:cs="Arial"/>
                <w:b/>
                <w:color w:val="000000"/>
                <w:sz w:val="18"/>
                <w:szCs w:val="18"/>
              </w:rPr>
              <w:t>Impeded Navigation and Water Intake</w:t>
            </w:r>
          </w:p>
        </w:tc>
        <w:tc>
          <w:tcPr>
            <w:tcW w:w="1260" w:type="dxa"/>
            <w:tcBorders>
              <w:top w:val="single" w:sz="4" w:space="0" w:color="000000"/>
              <w:bottom w:val="single" w:sz="4" w:space="0" w:color="000000"/>
            </w:tcBorders>
            <w:shd w:val="clear" w:color="auto" w:fill="auto"/>
            <w:tcMar>
              <w:left w:w="43" w:type="dxa"/>
              <w:right w:w="43" w:type="dxa"/>
            </w:tcMar>
            <w:vAlign w:val="center"/>
          </w:tcPr>
          <w:p w14:paraId="5D6240E9" w14:textId="77777777" w:rsidR="008A388C" w:rsidRDefault="008A388C" w:rsidP="00797664">
            <w:pPr>
              <w:pBdr>
                <w:top w:val="nil"/>
                <w:left w:val="nil"/>
                <w:bottom w:val="nil"/>
                <w:right w:val="nil"/>
                <w:between w:val="nil"/>
              </w:pBdr>
              <w:spacing w:before="60" w:after="60" w:line="240" w:lineRule="auto"/>
              <w:jc w:val="center"/>
              <w:rPr>
                <w:rFonts w:ascii="Arial" w:eastAsia="Arial" w:hAnsi="Arial" w:cs="Arial"/>
                <w:b/>
                <w:color w:val="000000"/>
                <w:sz w:val="18"/>
                <w:szCs w:val="18"/>
              </w:rPr>
            </w:pPr>
            <w:r>
              <w:rPr>
                <w:rFonts w:ascii="Arial" w:eastAsia="Arial" w:hAnsi="Arial" w:cs="Arial"/>
                <w:b/>
                <w:color w:val="000000"/>
                <w:sz w:val="18"/>
                <w:szCs w:val="18"/>
              </w:rPr>
              <w:t xml:space="preserve">Poor Water Quality </w:t>
            </w:r>
          </w:p>
        </w:tc>
      </w:tr>
      <w:tr w:rsidR="008A388C" w14:paraId="2E6BCC22" w14:textId="77777777" w:rsidTr="00797664">
        <w:trPr>
          <w:jc w:val="center"/>
        </w:trPr>
        <w:tc>
          <w:tcPr>
            <w:tcW w:w="2340" w:type="dxa"/>
            <w:tcBorders>
              <w:top w:val="single" w:sz="4" w:space="0" w:color="000000"/>
            </w:tcBorders>
            <w:vAlign w:val="center"/>
          </w:tcPr>
          <w:p w14:paraId="306B5E66" w14:textId="77777777" w:rsidR="008A388C" w:rsidRDefault="008A388C" w:rsidP="00797664">
            <w:pPr>
              <w:pBdr>
                <w:top w:val="nil"/>
                <w:left w:val="nil"/>
                <w:bottom w:val="nil"/>
                <w:right w:val="nil"/>
                <w:between w:val="nil"/>
              </w:pBdr>
              <w:spacing w:before="120" w:after="120" w:line="240" w:lineRule="auto"/>
              <w:rPr>
                <w:rFonts w:ascii="Arial" w:eastAsia="Arial" w:hAnsi="Arial" w:cs="Arial"/>
                <w:color w:val="000000"/>
                <w:sz w:val="18"/>
                <w:szCs w:val="18"/>
              </w:rPr>
            </w:pPr>
            <w:r>
              <w:rPr>
                <w:rFonts w:ascii="Arial" w:eastAsia="Arial" w:hAnsi="Arial" w:cs="Arial"/>
                <w:color w:val="000000"/>
                <w:sz w:val="18"/>
                <w:szCs w:val="18"/>
              </w:rPr>
              <w:t>DO</w:t>
            </w:r>
          </w:p>
        </w:tc>
        <w:tc>
          <w:tcPr>
            <w:tcW w:w="1260" w:type="dxa"/>
            <w:tcBorders>
              <w:top w:val="single" w:sz="4" w:space="0" w:color="000000"/>
            </w:tcBorders>
            <w:vAlign w:val="center"/>
          </w:tcPr>
          <w:p w14:paraId="2211344A" w14:textId="77777777" w:rsidR="008A388C" w:rsidRDefault="008A388C" w:rsidP="00797664">
            <w:pPr>
              <w:pBdr>
                <w:top w:val="nil"/>
                <w:left w:val="nil"/>
                <w:bottom w:val="nil"/>
                <w:right w:val="nil"/>
                <w:between w:val="nil"/>
              </w:pBdr>
              <w:spacing w:before="120" w:after="120" w:line="240" w:lineRule="auto"/>
              <w:jc w:val="center"/>
              <w:rPr>
                <w:rFonts w:ascii="Arial" w:eastAsia="Arial" w:hAnsi="Arial" w:cs="Arial"/>
                <w:b/>
                <w:color w:val="000000"/>
                <w:sz w:val="18"/>
                <w:szCs w:val="18"/>
              </w:rPr>
            </w:pPr>
            <w:r>
              <w:rPr>
                <w:rFonts w:ascii="Arial" w:eastAsia="Arial" w:hAnsi="Arial" w:cs="Arial"/>
                <w:b/>
                <w:color w:val="000000"/>
                <w:sz w:val="18"/>
                <w:szCs w:val="18"/>
              </w:rPr>
              <w:t>X</w:t>
            </w:r>
          </w:p>
        </w:tc>
        <w:tc>
          <w:tcPr>
            <w:tcW w:w="1350" w:type="dxa"/>
            <w:tcBorders>
              <w:top w:val="single" w:sz="4" w:space="0" w:color="000000"/>
            </w:tcBorders>
            <w:vAlign w:val="center"/>
          </w:tcPr>
          <w:p w14:paraId="090FCE6E" w14:textId="77777777" w:rsidR="008A388C" w:rsidRDefault="008A388C" w:rsidP="00797664">
            <w:pPr>
              <w:pBdr>
                <w:top w:val="nil"/>
                <w:left w:val="nil"/>
                <w:bottom w:val="nil"/>
                <w:right w:val="nil"/>
                <w:between w:val="nil"/>
              </w:pBdr>
              <w:spacing w:before="120" w:after="120" w:line="240" w:lineRule="auto"/>
              <w:jc w:val="center"/>
              <w:rPr>
                <w:rFonts w:ascii="Arial" w:eastAsia="Arial" w:hAnsi="Arial" w:cs="Arial"/>
                <w:b/>
                <w:color w:val="000000"/>
                <w:sz w:val="18"/>
                <w:szCs w:val="18"/>
              </w:rPr>
            </w:pPr>
            <w:r>
              <w:rPr>
                <w:rFonts w:ascii="Arial" w:eastAsia="Arial" w:hAnsi="Arial" w:cs="Arial"/>
                <w:b/>
                <w:color w:val="000000"/>
                <w:sz w:val="18"/>
                <w:szCs w:val="18"/>
              </w:rPr>
              <w:t>X</w:t>
            </w:r>
          </w:p>
        </w:tc>
        <w:tc>
          <w:tcPr>
            <w:tcW w:w="1170" w:type="dxa"/>
            <w:tcBorders>
              <w:top w:val="single" w:sz="4" w:space="0" w:color="000000"/>
            </w:tcBorders>
            <w:vAlign w:val="center"/>
          </w:tcPr>
          <w:p w14:paraId="3E6F19BE" w14:textId="77777777" w:rsidR="008A388C" w:rsidRDefault="008A388C" w:rsidP="00797664">
            <w:pPr>
              <w:pBdr>
                <w:top w:val="nil"/>
                <w:left w:val="nil"/>
                <w:bottom w:val="nil"/>
                <w:right w:val="nil"/>
                <w:between w:val="nil"/>
              </w:pBdr>
              <w:spacing w:before="120" w:after="120" w:line="240" w:lineRule="auto"/>
              <w:jc w:val="center"/>
              <w:rPr>
                <w:rFonts w:ascii="Arial" w:eastAsia="Arial" w:hAnsi="Arial" w:cs="Arial"/>
                <w:b/>
                <w:color w:val="000000"/>
                <w:sz w:val="18"/>
                <w:szCs w:val="18"/>
              </w:rPr>
            </w:pPr>
            <w:r>
              <w:rPr>
                <w:rFonts w:ascii="Arial" w:eastAsia="Arial" w:hAnsi="Arial" w:cs="Arial"/>
                <w:b/>
                <w:color w:val="000000"/>
                <w:sz w:val="18"/>
                <w:szCs w:val="18"/>
              </w:rPr>
              <w:t>X</w:t>
            </w:r>
          </w:p>
        </w:tc>
        <w:tc>
          <w:tcPr>
            <w:tcW w:w="1080" w:type="dxa"/>
            <w:tcBorders>
              <w:top w:val="single" w:sz="4" w:space="0" w:color="000000"/>
            </w:tcBorders>
            <w:vAlign w:val="center"/>
          </w:tcPr>
          <w:p w14:paraId="473B6850" w14:textId="77777777" w:rsidR="008A388C" w:rsidRDefault="008A388C" w:rsidP="00797664">
            <w:pPr>
              <w:pBdr>
                <w:top w:val="nil"/>
                <w:left w:val="nil"/>
                <w:bottom w:val="nil"/>
                <w:right w:val="nil"/>
                <w:between w:val="nil"/>
              </w:pBdr>
              <w:spacing w:before="120" w:after="120" w:line="240" w:lineRule="auto"/>
              <w:jc w:val="center"/>
              <w:rPr>
                <w:rFonts w:ascii="Arial" w:eastAsia="Arial" w:hAnsi="Arial" w:cs="Arial"/>
                <w:b/>
                <w:color w:val="000000"/>
                <w:sz w:val="18"/>
                <w:szCs w:val="18"/>
              </w:rPr>
            </w:pPr>
          </w:p>
        </w:tc>
        <w:tc>
          <w:tcPr>
            <w:tcW w:w="1170" w:type="dxa"/>
            <w:tcBorders>
              <w:top w:val="single" w:sz="4" w:space="0" w:color="000000"/>
            </w:tcBorders>
            <w:vAlign w:val="center"/>
          </w:tcPr>
          <w:p w14:paraId="4D1D9A2E" w14:textId="77777777" w:rsidR="008A388C" w:rsidRDefault="008A388C" w:rsidP="00797664">
            <w:pPr>
              <w:pBdr>
                <w:top w:val="nil"/>
                <w:left w:val="nil"/>
                <w:bottom w:val="nil"/>
                <w:right w:val="nil"/>
                <w:between w:val="nil"/>
              </w:pBdr>
              <w:spacing w:before="120" w:after="120" w:line="240" w:lineRule="auto"/>
              <w:jc w:val="center"/>
              <w:rPr>
                <w:rFonts w:ascii="Arial" w:eastAsia="Arial" w:hAnsi="Arial" w:cs="Arial"/>
                <w:b/>
                <w:color w:val="000000"/>
                <w:sz w:val="18"/>
                <w:szCs w:val="18"/>
              </w:rPr>
            </w:pPr>
          </w:p>
        </w:tc>
        <w:tc>
          <w:tcPr>
            <w:tcW w:w="1260" w:type="dxa"/>
            <w:tcBorders>
              <w:top w:val="single" w:sz="4" w:space="0" w:color="000000"/>
            </w:tcBorders>
            <w:vAlign w:val="center"/>
          </w:tcPr>
          <w:p w14:paraId="03B0BDBE" w14:textId="77777777" w:rsidR="008A388C" w:rsidRDefault="008A388C" w:rsidP="00797664">
            <w:pPr>
              <w:pBdr>
                <w:top w:val="nil"/>
                <w:left w:val="nil"/>
                <w:bottom w:val="nil"/>
                <w:right w:val="nil"/>
                <w:between w:val="nil"/>
              </w:pBdr>
              <w:spacing w:before="120" w:after="120" w:line="240" w:lineRule="auto"/>
              <w:jc w:val="center"/>
              <w:rPr>
                <w:rFonts w:ascii="Arial" w:eastAsia="Arial" w:hAnsi="Arial" w:cs="Arial"/>
                <w:b/>
                <w:color w:val="000000"/>
                <w:sz w:val="18"/>
                <w:szCs w:val="18"/>
              </w:rPr>
            </w:pPr>
            <w:r>
              <w:rPr>
                <w:rFonts w:ascii="Arial" w:eastAsia="Arial" w:hAnsi="Arial" w:cs="Arial"/>
                <w:b/>
                <w:color w:val="000000"/>
                <w:sz w:val="18"/>
                <w:szCs w:val="18"/>
              </w:rPr>
              <w:t>X</w:t>
            </w:r>
          </w:p>
        </w:tc>
      </w:tr>
      <w:tr w:rsidR="008A388C" w14:paraId="7023D531" w14:textId="77777777" w:rsidTr="00797664">
        <w:trPr>
          <w:jc w:val="center"/>
        </w:trPr>
        <w:tc>
          <w:tcPr>
            <w:tcW w:w="2340" w:type="dxa"/>
            <w:vAlign w:val="center"/>
          </w:tcPr>
          <w:p w14:paraId="78831156" w14:textId="77777777" w:rsidR="008A388C" w:rsidRDefault="008A388C" w:rsidP="00797664">
            <w:pPr>
              <w:pBdr>
                <w:top w:val="nil"/>
                <w:left w:val="nil"/>
                <w:bottom w:val="nil"/>
                <w:right w:val="nil"/>
                <w:between w:val="nil"/>
              </w:pBdr>
              <w:spacing w:before="120" w:after="120" w:line="240" w:lineRule="auto"/>
              <w:rPr>
                <w:rFonts w:ascii="Arial" w:eastAsia="Arial" w:hAnsi="Arial" w:cs="Arial"/>
                <w:color w:val="000000"/>
                <w:sz w:val="18"/>
                <w:szCs w:val="18"/>
              </w:rPr>
            </w:pPr>
            <w:r>
              <w:rPr>
                <w:rFonts w:ascii="Arial" w:eastAsia="Arial" w:hAnsi="Arial" w:cs="Arial"/>
                <w:color w:val="000000"/>
                <w:sz w:val="18"/>
                <w:szCs w:val="18"/>
              </w:rPr>
              <w:t>pH, carbonate saturation state</w:t>
            </w:r>
          </w:p>
        </w:tc>
        <w:tc>
          <w:tcPr>
            <w:tcW w:w="1260" w:type="dxa"/>
            <w:vAlign w:val="center"/>
          </w:tcPr>
          <w:p w14:paraId="573CFA0A" w14:textId="77777777" w:rsidR="008A388C" w:rsidRDefault="008A388C" w:rsidP="00797664">
            <w:pPr>
              <w:pBdr>
                <w:top w:val="nil"/>
                <w:left w:val="nil"/>
                <w:bottom w:val="nil"/>
                <w:right w:val="nil"/>
                <w:between w:val="nil"/>
              </w:pBdr>
              <w:spacing w:before="120" w:after="120" w:line="240" w:lineRule="auto"/>
              <w:jc w:val="center"/>
              <w:rPr>
                <w:rFonts w:ascii="Arial" w:eastAsia="Arial" w:hAnsi="Arial" w:cs="Arial"/>
                <w:b/>
                <w:color w:val="000000"/>
                <w:sz w:val="18"/>
                <w:szCs w:val="18"/>
              </w:rPr>
            </w:pPr>
            <w:r>
              <w:rPr>
                <w:rFonts w:ascii="Arial" w:eastAsia="Arial" w:hAnsi="Arial" w:cs="Arial"/>
                <w:b/>
                <w:color w:val="000000"/>
                <w:sz w:val="18"/>
                <w:szCs w:val="18"/>
              </w:rPr>
              <w:t>X</w:t>
            </w:r>
          </w:p>
        </w:tc>
        <w:tc>
          <w:tcPr>
            <w:tcW w:w="1350" w:type="dxa"/>
            <w:vAlign w:val="center"/>
          </w:tcPr>
          <w:p w14:paraId="59513DC1" w14:textId="77777777" w:rsidR="008A388C" w:rsidRDefault="008A388C" w:rsidP="00797664">
            <w:pPr>
              <w:pBdr>
                <w:top w:val="nil"/>
                <w:left w:val="nil"/>
                <w:bottom w:val="nil"/>
                <w:right w:val="nil"/>
                <w:between w:val="nil"/>
              </w:pBdr>
              <w:spacing w:before="120" w:after="120" w:line="240" w:lineRule="auto"/>
              <w:jc w:val="center"/>
              <w:rPr>
                <w:rFonts w:ascii="Arial" w:eastAsia="Arial" w:hAnsi="Arial" w:cs="Arial"/>
                <w:b/>
                <w:color w:val="000000"/>
                <w:sz w:val="18"/>
                <w:szCs w:val="18"/>
              </w:rPr>
            </w:pPr>
            <w:r>
              <w:rPr>
                <w:rFonts w:ascii="Arial" w:eastAsia="Arial" w:hAnsi="Arial" w:cs="Arial"/>
                <w:b/>
                <w:color w:val="000000"/>
                <w:sz w:val="18"/>
                <w:szCs w:val="18"/>
              </w:rPr>
              <w:t>X</w:t>
            </w:r>
          </w:p>
        </w:tc>
        <w:tc>
          <w:tcPr>
            <w:tcW w:w="1170" w:type="dxa"/>
            <w:vAlign w:val="center"/>
          </w:tcPr>
          <w:p w14:paraId="1CBAF313" w14:textId="77777777" w:rsidR="008A388C" w:rsidRDefault="008A388C" w:rsidP="00797664">
            <w:pPr>
              <w:pBdr>
                <w:top w:val="nil"/>
                <w:left w:val="nil"/>
                <w:bottom w:val="nil"/>
                <w:right w:val="nil"/>
                <w:between w:val="nil"/>
              </w:pBdr>
              <w:spacing w:before="120" w:after="120" w:line="240" w:lineRule="auto"/>
              <w:jc w:val="center"/>
              <w:rPr>
                <w:rFonts w:ascii="Arial" w:eastAsia="Arial" w:hAnsi="Arial" w:cs="Arial"/>
                <w:b/>
                <w:color w:val="000000"/>
                <w:sz w:val="18"/>
                <w:szCs w:val="18"/>
              </w:rPr>
            </w:pPr>
          </w:p>
        </w:tc>
        <w:tc>
          <w:tcPr>
            <w:tcW w:w="1080" w:type="dxa"/>
            <w:vAlign w:val="center"/>
          </w:tcPr>
          <w:p w14:paraId="4B0BF133" w14:textId="77777777" w:rsidR="008A388C" w:rsidRDefault="008A388C" w:rsidP="00797664">
            <w:pPr>
              <w:pBdr>
                <w:top w:val="nil"/>
                <w:left w:val="nil"/>
                <w:bottom w:val="nil"/>
                <w:right w:val="nil"/>
                <w:between w:val="nil"/>
              </w:pBdr>
              <w:spacing w:before="120" w:after="120" w:line="240" w:lineRule="auto"/>
              <w:jc w:val="center"/>
              <w:rPr>
                <w:rFonts w:ascii="Arial" w:eastAsia="Arial" w:hAnsi="Arial" w:cs="Arial"/>
                <w:b/>
                <w:color w:val="000000"/>
                <w:sz w:val="18"/>
                <w:szCs w:val="18"/>
              </w:rPr>
            </w:pPr>
          </w:p>
        </w:tc>
        <w:tc>
          <w:tcPr>
            <w:tcW w:w="1170" w:type="dxa"/>
            <w:vAlign w:val="center"/>
          </w:tcPr>
          <w:p w14:paraId="24310E71" w14:textId="77777777" w:rsidR="008A388C" w:rsidRDefault="008A388C" w:rsidP="00797664">
            <w:pPr>
              <w:pBdr>
                <w:top w:val="nil"/>
                <w:left w:val="nil"/>
                <w:bottom w:val="nil"/>
                <w:right w:val="nil"/>
                <w:between w:val="nil"/>
              </w:pBdr>
              <w:spacing w:before="120" w:after="120" w:line="240" w:lineRule="auto"/>
              <w:jc w:val="center"/>
              <w:rPr>
                <w:rFonts w:ascii="Arial" w:eastAsia="Arial" w:hAnsi="Arial" w:cs="Arial"/>
                <w:b/>
                <w:color w:val="000000"/>
                <w:sz w:val="18"/>
                <w:szCs w:val="18"/>
              </w:rPr>
            </w:pPr>
          </w:p>
        </w:tc>
        <w:tc>
          <w:tcPr>
            <w:tcW w:w="1260" w:type="dxa"/>
            <w:vAlign w:val="center"/>
          </w:tcPr>
          <w:p w14:paraId="0903C186" w14:textId="77777777" w:rsidR="008A388C" w:rsidRDefault="008A388C" w:rsidP="00797664">
            <w:pPr>
              <w:pBdr>
                <w:top w:val="nil"/>
                <w:left w:val="nil"/>
                <w:bottom w:val="nil"/>
                <w:right w:val="nil"/>
                <w:between w:val="nil"/>
              </w:pBdr>
              <w:spacing w:before="120" w:after="120" w:line="240" w:lineRule="auto"/>
              <w:jc w:val="center"/>
              <w:rPr>
                <w:rFonts w:ascii="Arial" w:eastAsia="Arial" w:hAnsi="Arial" w:cs="Arial"/>
                <w:b/>
                <w:color w:val="000000"/>
                <w:sz w:val="18"/>
                <w:szCs w:val="18"/>
              </w:rPr>
            </w:pPr>
            <w:r>
              <w:rPr>
                <w:rFonts w:ascii="Arial" w:eastAsia="Arial" w:hAnsi="Arial" w:cs="Arial"/>
                <w:b/>
                <w:color w:val="000000"/>
                <w:sz w:val="18"/>
                <w:szCs w:val="18"/>
              </w:rPr>
              <w:t>X</w:t>
            </w:r>
          </w:p>
        </w:tc>
      </w:tr>
      <w:tr w:rsidR="008A388C" w14:paraId="7A1BA817" w14:textId="77777777" w:rsidTr="00797664">
        <w:trPr>
          <w:jc w:val="center"/>
        </w:trPr>
        <w:tc>
          <w:tcPr>
            <w:tcW w:w="2340" w:type="dxa"/>
            <w:vAlign w:val="center"/>
          </w:tcPr>
          <w:p w14:paraId="29B6BCC0" w14:textId="77777777" w:rsidR="008A388C" w:rsidRDefault="008A388C" w:rsidP="00797664">
            <w:pPr>
              <w:pBdr>
                <w:top w:val="nil"/>
                <w:left w:val="nil"/>
                <w:bottom w:val="nil"/>
                <w:right w:val="nil"/>
                <w:between w:val="nil"/>
              </w:pBdr>
              <w:spacing w:before="120" w:after="120" w:line="240" w:lineRule="auto"/>
              <w:rPr>
                <w:rFonts w:ascii="Arial" w:eastAsia="Arial" w:hAnsi="Arial" w:cs="Arial"/>
                <w:color w:val="000000"/>
                <w:sz w:val="18"/>
                <w:szCs w:val="18"/>
              </w:rPr>
            </w:pPr>
            <w:r>
              <w:rPr>
                <w:rFonts w:ascii="Arial" w:eastAsia="Arial" w:hAnsi="Arial" w:cs="Arial"/>
                <w:color w:val="000000"/>
                <w:sz w:val="18"/>
                <w:szCs w:val="18"/>
              </w:rPr>
              <w:t>Secchi Depth, Turbidity, TSS, light attenuation</w:t>
            </w:r>
          </w:p>
        </w:tc>
        <w:tc>
          <w:tcPr>
            <w:tcW w:w="1260" w:type="dxa"/>
            <w:vAlign w:val="center"/>
          </w:tcPr>
          <w:p w14:paraId="6273E6A4" w14:textId="77777777" w:rsidR="008A388C" w:rsidRDefault="008A388C" w:rsidP="00797664">
            <w:pPr>
              <w:pBdr>
                <w:top w:val="nil"/>
                <w:left w:val="nil"/>
                <w:bottom w:val="nil"/>
                <w:right w:val="nil"/>
                <w:between w:val="nil"/>
              </w:pBdr>
              <w:spacing w:before="120" w:after="120" w:line="240" w:lineRule="auto"/>
              <w:jc w:val="center"/>
              <w:rPr>
                <w:rFonts w:ascii="Arial" w:eastAsia="Arial" w:hAnsi="Arial" w:cs="Arial"/>
                <w:b/>
                <w:color w:val="000000"/>
                <w:sz w:val="18"/>
                <w:szCs w:val="18"/>
              </w:rPr>
            </w:pPr>
            <w:r>
              <w:rPr>
                <w:rFonts w:ascii="Arial" w:eastAsia="Arial" w:hAnsi="Arial" w:cs="Arial"/>
                <w:b/>
                <w:color w:val="000000"/>
                <w:sz w:val="18"/>
                <w:szCs w:val="18"/>
              </w:rPr>
              <w:t>X</w:t>
            </w:r>
          </w:p>
        </w:tc>
        <w:tc>
          <w:tcPr>
            <w:tcW w:w="1350" w:type="dxa"/>
            <w:vAlign w:val="center"/>
          </w:tcPr>
          <w:p w14:paraId="13641A11" w14:textId="77777777" w:rsidR="008A388C" w:rsidRDefault="008A388C" w:rsidP="00797664">
            <w:pPr>
              <w:pBdr>
                <w:top w:val="nil"/>
                <w:left w:val="nil"/>
                <w:bottom w:val="nil"/>
                <w:right w:val="nil"/>
                <w:between w:val="nil"/>
              </w:pBdr>
              <w:spacing w:before="120" w:after="120" w:line="240" w:lineRule="auto"/>
              <w:jc w:val="center"/>
              <w:rPr>
                <w:rFonts w:ascii="Arial" w:eastAsia="Arial" w:hAnsi="Arial" w:cs="Arial"/>
                <w:b/>
                <w:color w:val="000000"/>
                <w:sz w:val="18"/>
                <w:szCs w:val="18"/>
              </w:rPr>
            </w:pPr>
          </w:p>
        </w:tc>
        <w:tc>
          <w:tcPr>
            <w:tcW w:w="1170" w:type="dxa"/>
            <w:vAlign w:val="center"/>
          </w:tcPr>
          <w:p w14:paraId="0248B4A7" w14:textId="77777777" w:rsidR="008A388C" w:rsidRDefault="008A388C" w:rsidP="00797664">
            <w:pPr>
              <w:pBdr>
                <w:top w:val="nil"/>
                <w:left w:val="nil"/>
                <w:bottom w:val="nil"/>
                <w:right w:val="nil"/>
                <w:between w:val="nil"/>
              </w:pBdr>
              <w:spacing w:before="120" w:after="120" w:line="240" w:lineRule="auto"/>
              <w:jc w:val="center"/>
              <w:rPr>
                <w:rFonts w:ascii="Arial" w:eastAsia="Arial" w:hAnsi="Arial" w:cs="Arial"/>
                <w:b/>
                <w:color w:val="000000"/>
                <w:sz w:val="18"/>
                <w:szCs w:val="18"/>
              </w:rPr>
            </w:pPr>
          </w:p>
        </w:tc>
        <w:tc>
          <w:tcPr>
            <w:tcW w:w="1080" w:type="dxa"/>
            <w:vAlign w:val="center"/>
          </w:tcPr>
          <w:p w14:paraId="3A47202B" w14:textId="77777777" w:rsidR="008A388C" w:rsidRDefault="008A388C" w:rsidP="00797664">
            <w:pPr>
              <w:pBdr>
                <w:top w:val="nil"/>
                <w:left w:val="nil"/>
                <w:bottom w:val="nil"/>
                <w:right w:val="nil"/>
                <w:between w:val="nil"/>
              </w:pBdr>
              <w:spacing w:before="120" w:after="120" w:line="240" w:lineRule="auto"/>
              <w:jc w:val="center"/>
              <w:rPr>
                <w:rFonts w:ascii="Arial" w:eastAsia="Arial" w:hAnsi="Arial" w:cs="Arial"/>
                <w:b/>
                <w:color w:val="000000"/>
                <w:sz w:val="18"/>
                <w:szCs w:val="18"/>
              </w:rPr>
            </w:pPr>
            <w:r>
              <w:rPr>
                <w:rFonts w:ascii="Arial" w:eastAsia="Arial" w:hAnsi="Arial" w:cs="Arial"/>
                <w:b/>
                <w:color w:val="000000"/>
                <w:sz w:val="18"/>
                <w:szCs w:val="18"/>
              </w:rPr>
              <w:t>X</w:t>
            </w:r>
          </w:p>
        </w:tc>
        <w:tc>
          <w:tcPr>
            <w:tcW w:w="1170" w:type="dxa"/>
            <w:vAlign w:val="center"/>
          </w:tcPr>
          <w:p w14:paraId="55A9DF9F" w14:textId="77777777" w:rsidR="008A388C" w:rsidRDefault="008A388C" w:rsidP="00797664">
            <w:pPr>
              <w:pBdr>
                <w:top w:val="nil"/>
                <w:left w:val="nil"/>
                <w:bottom w:val="nil"/>
                <w:right w:val="nil"/>
                <w:between w:val="nil"/>
              </w:pBdr>
              <w:spacing w:before="120" w:after="120" w:line="240" w:lineRule="auto"/>
              <w:jc w:val="center"/>
              <w:rPr>
                <w:rFonts w:ascii="Arial" w:eastAsia="Arial" w:hAnsi="Arial" w:cs="Arial"/>
                <w:b/>
                <w:color w:val="000000"/>
                <w:sz w:val="18"/>
                <w:szCs w:val="18"/>
              </w:rPr>
            </w:pPr>
          </w:p>
        </w:tc>
        <w:tc>
          <w:tcPr>
            <w:tcW w:w="1260" w:type="dxa"/>
            <w:vAlign w:val="center"/>
          </w:tcPr>
          <w:p w14:paraId="70F4CAF9" w14:textId="77777777" w:rsidR="008A388C" w:rsidRDefault="008A388C" w:rsidP="00797664">
            <w:pPr>
              <w:pBdr>
                <w:top w:val="nil"/>
                <w:left w:val="nil"/>
                <w:bottom w:val="nil"/>
                <w:right w:val="nil"/>
                <w:between w:val="nil"/>
              </w:pBdr>
              <w:spacing w:before="120" w:after="120" w:line="240" w:lineRule="auto"/>
              <w:jc w:val="center"/>
              <w:rPr>
                <w:rFonts w:ascii="Arial" w:eastAsia="Arial" w:hAnsi="Arial" w:cs="Arial"/>
                <w:b/>
                <w:color w:val="000000"/>
                <w:sz w:val="18"/>
                <w:szCs w:val="18"/>
              </w:rPr>
            </w:pPr>
            <w:r>
              <w:rPr>
                <w:rFonts w:ascii="Arial" w:eastAsia="Arial" w:hAnsi="Arial" w:cs="Arial"/>
                <w:b/>
                <w:color w:val="000000"/>
                <w:sz w:val="18"/>
                <w:szCs w:val="18"/>
              </w:rPr>
              <w:t>X</w:t>
            </w:r>
          </w:p>
        </w:tc>
      </w:tr>
      <w:tr w:rsidR="008A388C" w14:paraId="51FF4137" w14:textId="77777777" w:rsidTr="00797664">
        <w:trPr>
          <w:jc w:val="center"/>
        </w:trPr>
        <w:tc>
          <w:tcPr>
            <w:tcW w:w="2340" w:type="dxa"/>
            <w:vAlign w:val="center"/>
          </w:tcPr>
          <w:p w14:paraId="120C8174" w14:textId="77777777" w:rsidR="008A388C" w:rsidRDefault="008A388C" w:rsidP="00797664">
            <w:pPr>
              <w:pBdr>
                <w:top w:val="nil"/>
                <w:left w:val="nil"/>
                <w:bottom w:val="nil"/>
                <w:right w:val="nil"/>
                <w:between w:val="nil"/>
              </w:pBdr>
              <w:spacing w:before="120" w:after="120" w:line="240" w:lineRule="auto"/>
              <w:rPr>
                <w:rFonts w:ascii="Arial" w:eastAsia="Arial" w:hAnsi="Arial" w:cs="Arial"/>
                <w:color w:val="000000"/>
                <w:sz w:val="18"/>
                <w:szCs w:val="18"/>
              </w:rPr>
            </w:pPr>
            <w:r>
              <w:rPr>
                <w:rFonts w:ascii="Arial" w:eastAsia="Arial" w:hAnsi="Arial" w:cs="Arial"/>
                <w:color w:val="000000"/>
                <w:sz w:val="18"/>
                <w:szCs w:val="18"/>
              </w:rPr>
              <w:t xml:space="preserve">Benthic and/or Planktonic Algal Biomass (e,g, chl-a) </w:t>
            </w:r>
          </w:p>
        </w:tc>
        <w:tc>
          <w:tcPr>
            <w:tcW w:w="1260" w:type="dxa"/>
            <w:vAlign w:val="center"/>
          </w:tcPr>
          <w:p w14:paraId="04CF05CD" w14:textId="77777777" w:rsidR="008A388C" w:rsidRDefault="008A388C" w:rsidP="00797664">
            <w:pPr>
              <w:pBdr>
                <w:top w:val="nil"/>
                <w:left w:val="nil"/>
                <w:bottom w:val="nil"/>
                <w:right w:val="nil"/>
                <w:between w:val="nil"/>
              </w:pBdr>
              <w:spacing w:before="120" w:after="120" w:line="240" w:lineRule="auto"/>
              <w:jc w:val="center"/>
              <w:rPr>
                <w:rFonts w:ascii="Arial" w:eastAsia="Arial" w:hAnsi="Arial" w:cs="Arial"/>
                <w:b/>
                <w:color w:val="000000"/>
                <w:sz w:val="18"/>
                <w:szCs w:val="18"/>
              </w:rPr>
            </w:pPr>
            <w:r>
              <w:rPr>
                <w:rFonts w:ascii="Arial" w:eastAsia="Arial" w:hAnsi="Arial" w:cs="Arial"/>
                <w:b/>
                <w:color w:val="000000"/>
                <w:sz w:val="18"/>
                <w:szCs w:val="18"/>
              </w:rPr>
              <w:t>X</w:t>
            </w:r>
          </w:p>
        </w:tc>
        <w:tc>
          <w:tcPr>
            <w:tcW w:w="1350" w:type="dxa"/>
            <w:vAlign w:val="center"/>
          </w:tcPr>
          <w:p w14:paraId="151E47F7" w14:textId="77777777" w:rsidR="008A388C" w:rsidRDefault="008A388C" w:rsidP="00797664">
            <w:pPr>
              <w:pBdr>
                <w:top w:val="nil"/>
                <w:left w:val="nil"/>
                <w:bottom w:val="nil"/>
                <w:right w:val="nil"/>
                <w:between w:val="nil"/>
              </w:pBdr>
              <w:spacing w:before="120" w:after="120" w:line="240" w:lineRule="auto"/>
              <w:jc w:val="center"/>
              <w:rPr>
                <w:rFonts w:ascii="Arial" w:eastAsia="Arial" w:hAnsi="Arial" w:cs="Arial"/>
                <w:b/>
                <w:color w:val="000000"/>
                <w:sz w:val="18"/>
                <w:szCs w:val="18"/>
              </w:rPr>
            </w:pPr>
            <w:r>
              <w:rPr>
                <w:rFonts w:ascii="Arial" w:eastAsia="Arial" w:hAnsi="Arial" w:cs="Arial"/>
                <w:b/>
                <w:color w:val="000000"/>
                <w:sz w:val="18"/>
                <w:szCs w:val="18"/>
              </w:rPr>
              <w:t>X</w:t>
            </w:r>
          </w:p>
        </w:tc>
        <w:tc>
          <w:tcPr>
            <w:tcW w:w="1170" w:type="dxa"/>
            <w:vAlign w:val="center"/>
          </w:tcPr>
          <w:p w14:paraId="45BB94F0" w14:textId="77777777" w:rsidR="008A388C" w:rsidRDefault="008A388C" w:rsidP="00797664">
            <w:pPr>
              <w:pBdr>
                <w:top w:val="nil"/>
                <w:left w:val="nil"/>
                <w:bottom w:val="nil"/>
                <w:right w:val="nil"/>
                <w:between w:val="nil"/>
              </w:pBdr>
              <w:spacing w:before="120" w:after="120" w:line="240" w:lineRule="auto"/>
              <w:jc w:val="center"/>
              <w:rPr>
                <w:rFonts w:ascii="Arial" w:eastAsia="Arial" w:hAnsi="Arial" w:cs="Arial"/>
                <w:b/>
                <w:color w:val="000000"/>
                <w:sz w:val="18"/>
                <w:szCs w:val="18"/>
              </w:rPr>
            </w:pPr>
            <w:r>
              <w:rPr>
                <w:rFonts w:ascii="Arial" w:eastAsia="Arial" w:hAnsi="Arial" w:cs="Arial"/>
                <w:b/>
                <w:color w:val="000000"/>
                <w:sz w:val="18"/>
                <w:szCs w:val="18"/>
              </w:rPr>
              <w:t>X</w:t>
            </w:r>
          </w:p>
        </w:tc>
        <w:tc>
          <w:tcPr>
            <w:tcW w:w="1080" w:type="dxa"/>
            <w:vAlign w:val="center"/>
          </w:tcPr>
          <w:p w14:paraId="484D9C98" w14:textId="77777777" w:rsidR="008A388C" w:rsidRDefault="008A388C" w:rsidP="00797664">
            <w:pPr>
              <w:pBdr>
                <w:top w:val="nil"/>
                <w:left w:val="nil"/>
                <w:bottom w:val="nil"/>
                <w:right w:val="nil"/>
                <w:between w:val="nil"/>
              </w:pBdr>
              <w:spacing w:before="120" w:after="120" w:line="240" w:lineRule="auto"/>
              <w:jc w:val="center"/>
              <w:rPr>
                <w:rFonts w:ascii="Arial" w:eastAsia="Arial" w:hAnsi="Arial" w:cs="Arial"/>
                <w:b/>
                <w:color w:val="000000"/>
                <w:sz w:val="18"/>
                <w:szCs w:val="18"/>
              </w:rPr>
            </w:pPr>
            <w:r>
              <w:rPr>
                <w:rFonts w:ascii="Arial" w:eastAsia="Arial" w:hAnsi="Arial" w:cs="Arial"/>
                <w:b/>
                <w:color w:val="000000"/>
                <w:sz w:val="18"/>
                <w:szCs w:val="18"/>
              </w:rPr>
              <w:t>X</w:t>
            </w:r>
          </w:p>
        </w:tc>
        <w:tc>
          <w:tcPr>
            <w:tcW w:w="1170" w:type="dxa"/>
            <w:vAlign w:val="center"/>
          </w:tcPr>
          <w:p w14:paraId="647D5227" w14:textId="77777777" w:rsidR="008A388C" w:rsidRDefault="008A388C" w:rsidP="00797664">
            <w:pPr>
              <w:pBdr>
                <w:top w:val="nil"/>
                <w:left w:val="nil"/>
                <w:bottom w:val="nil"/>
                <w:right w:val="nil"/>
                <w:between w:val="nil"/>
              </w:pBdr>
              <w:spacing w:before="120" w:after="120" w:line="240" w:lineRule="auto"/>
              <w:jc w:val="center"/>
              <w:rPr>
                <w:rFonts w:ascii="Arial" w:eastAsia="Arial" w:hAnsi="Arial" w:cs="Arial"/>
                <w:b/>
                <w:color w:val="000000"/>
                <w:sz w:val="18"/>
                <w:szCs w:val="18"/>
              </w:rPr>
            </w:pPr>
            <w:r>
              <w:rPr>
                <w:rFonts w:ascii="Arial" w:eastAsia="Arial" w:hAnsi="Arial" w:cs="Arial"/>
                <w:b/>
                <w:color w:val="000000"/>
                <w:sz w:val="18"/>
                <w:szCs w:val="18"/>
              </w:rPr>
              <w:t>X</w:t>
            </w:r>
          </w:p>
        </w:tc>
        <w:tc>
          <w:tcPr>
            <w:tcW w:w="1260" w:type="dxa"/>
            <w:vAlign w:val="center"/>
          </w:tcPr>
          <w:p w14:paraId="36C58154" w14:textId="77777777" w:rsidR="008A388C" w:rsidRDefault="008A388C" w:rsidP="00797664">
            <w:pPr>
              <w:pBdr>
                <w:top w:val="nil"/>
                <w:left w:val="nil"/>
                <w:bottom w:val="nil"/>
                <w:right w:val="nil"/>
                <w:between w:val="nil"/>
              </w:pBdr>
              <w:spacing w:before="120" w:after="120" w:line="240" w:lineRule="auto"/>
              <w:jc w:val="center"/>
              <w:rPr>
                <w:rFonts w:ascii="Arial" w:eastAsia="Arial" w:hAnsi="Arial" w:cs="Arial"/>
                <w:b/>
                <w:color w:val="000000"/>
                <w:sz w:val="18"/>
                <w:szCs w:val="18"/>
              </w:rPr>
            </w:pPr>
            <w:r>
              <w:rPr>
                <w:rFonts w:ascii="Arial" w:eastAsia="Arial" w:hAnsi="Arial" w:cs="Arial"/>
                <w:b/>
                <w:color w:val="000000"/>
                <w:sz w:val="18"/>
                <w:szCs w:val="18"/>
              </w:rPr>
              <w:t>X</w:t>
            </w:r>
          </w:p>
        </w:tc>
      </w:tr>
      <w:tr w:rsidR="008A388C" w14:paraId="67B8C78E" w14:textId="77777777" w:rsidTr="00797664">
        <w:trPr>
          <w:jc w:val="center"/>
        </w:trPr>
        <w:tc>
          <w:tcPr>
            <w:tcW w:w="2340" w:type="dxa"/>
            <w:vAlign w:val="center"/>
          </w:tcPr>
          <w:p w14:paraId="4875C2AE" w14:textId="77777777" w:rsidR="008A388C" w:rsidRDefault="008A388C" w:rsidP="00797664">
            <w:pPr>
              <w:pBdr>
                <w:top w:val="nil"/>
                <w:left w:val="nil"/>
                <w:bottom w:val="nil"/>
                <w:right w:val="nil"/>
                <w:between w:val="nil"/>
              </w:pBdr>
              <w:spacing w:before="120" w:after="120" w:line="240" w:lineRule="auto"/>
              <w:rPr>
                <w:rFonts w:ascii="Arial" w:eastAsia="Arial" w:hAnsi="Arial" w:cs="Arial"/>
                <w:color w:val="000000"/>
                <w:sz w:val="18"/>
                <w:szCs w:val="18"/>
              </w:rPr>
            </w:pPr>
            <w:r>
              <w:rPr>
                <w:rFonts w:ascii="Arial" w:eastAsia="Arial" w:hAnsi="Arial" w:cs="Arial"/>
                <w:color w:val="000000"/>
                <w:sz w:val="18"/>
                <w:szCs w:val="18"/>
              </w:rPr>
              <w:t>Benthic or floating algal percent cover</w:t>
            </w:r>
          </w:p>
        </w:tc>
        <w:tc>
          <w:tcPr>
            <w:tcW w:w="1260" w:type="dxa"/>
            <w:vAlign w:val="center"/>
          </w:tcPr>
          <w:p w14:paraId="68BA7609" w14:textId="77777777" w:rsidR="008A388C" w:rsidRDefault="008A388C" w:rsidP="00797664">
            <w:pPr>
              <w:pBdr>
                <w:top w:val="nil"/>
                <w:left w:val="nil"/>
                <w:bottom w:val="nil"/>
                <w:right w:val="nil"/>
                <w:between w:val="nil"/>
              </w:pBdr>
              <w:spacing w:before="120" w:after="120" w:line="240" w:lineRule="auto"/>
              <w:jc w:val="center"/>
              <w:rPr>
                <w:rFonts w:ascii="Arial" w:eastAsia="Arial" w:hAnsi="Arial" w:cs="Arial"/>
                <w:b/>
                <w:color w:val="000000"/>
                <w:sz w:val="18"/>
                <w:szCs w:val="18"/>
              </w:rPr>
            </w:pPr>
            <w:r>
              <w:rPr>
                <w:rFonts w:ascii="Arial" w:eastAsia="Arial" w:hAnsi="Arial" w:cs="Arial"/>
                <w:b/>
                <w:color w:val="000000"/>
                <w:sz w:val="18"/>
                <w:szCs w:val="18"/>
              </w:rPr>
              <w:t>X</w:t>
            </w:r>
          </w:p>
        </w:tc>
        <w:tc>
          <w:tcPr>
            <w:tcW w:w="1350" w:type="dxa"/>
            <w:vAlign w:val="center"/>
          </w:tcPr>
          <w:p w14:paraId="544F1587" w14:textId="77777777" w:rsidR="008A388C" w:rsidRDefault="008A388C" w:rsidP="00797664">
            <w:pPr>
              <w:pBdr>
                <w:top w:val="nil"/>
                <w:left w:val="nil"/>
                <w:bottom w:val="nil"/>
                <w:right w:val="nil"/>
                <w:between w:val="nil"/>
              </w:pBdr>
              <w:spacing w:before="120" w:after="120" w:line="240" w:lineRule="auto"/>
              <w:jc w:val="center"/>
              <w:rPr>
                <w:rFonts w:ascii="Arial" w:eastAsia="Arial" w:hAnsi="Arial" w:cs="Arial"/>
                <w:b/>
                <w:color w:val="000000"/>
                <w:sz w:val="18"/>
                <w:szCs w:val="18"/>
              </w:rPr>
            </w:pPr>
            <w:r>
              <w:rPr>
                <w:rFonts w:ascii="Arial" w:eastAsia="Arial" w:hAnsi="Arial" w:cs="Arial"/>
                <w:b/>
                <w:color w:val="000000"/>
                <w:sz w:val="18"/>
                <w:szCs w:val="18"/>
              </w:rPr>
              <w:t>X</w:t>
            </w:r>
          </w:p>
        </w:tc>
        <w:tc>
          <w:tcPr>
            <w:tcW w:w="1170" w:type="dxa"/>
            <w:vAlign w:val="center"/>
          </w:tcPr>
          <w:p w14:paraId="78F9C936" w14:textId="77777777" w:rsidR="008A388C" w:rsidRDefault="008A388C" w:rsidP="00797664">
            <w:pPr>
              <w:pBdr>
                <w:top w:val="nil"/>
                <w:left w:val="nil"/>
                <w:bottom w:val="nil"/>
                <w:right w:val="nil"/>
                <w:between w:val="nil"/>
              </w:pBdr>
              <w:spacing w:before="120" w:after="120" w:line="240" w:lineRule="auto"/>
              <w:jc w:val="center"/>
              <w:rPr>
                <w:rFonts w:ascii="Arial" w:eastAsia="Arial" w:hAnsi="Arial" w:cs="Arial"/>
                <w:b/>
                <w:color w:val="000000"/>
                <w:sz w:val="18"/>
                <w:szCs w:val="18"/>
              </w:rPr>
            </w:pPr>
            <w:r>
              <w:rPr>
                <w:rFonts w:ascii="Arial" w:eastAsia="Arial" w:hAnsi="Arial" w:cs="Arial"/>
                <w:b/>
                <w:color w:val="000000"/>
                <w:sz w:val="18"/>
                <w:szCs w:val="18"/>
              </w:rPr>
              <w:t>X</w:t>
            </w:r>
          </w:p>
        </w:tc>
        <w:tc>
          <w:tcPr>
            <w:tcW w:w="1080" w:type="dxa"/>
            <w:vAlign w:val="center"/>
          </w:tcPr>
          <w:p w14:paraId="21A90F69" w14:textId="77777777" w:rsidR="008A388C" w:rsidRDefault="008A388C" w:rsidP="00797664">
            <w:pPr>
              <w:pBdr>
                <w:top w:val="nil"/>
                <w:left w:val="nil"/>
                <w:bottom w:val="nil"/>
                <w:right w:val="nil"/>
                <w:between w:val="nil"/>
              </w:pBdr>
              <w:spacing w:before="120" w:after="120" w:line="240" w:lineRule="auto"/>
              <w:jc w:val="center"/>
              <w:rPr>
                <w:rFonts w:ascii="Arial" w:eastAsia="Arial" w:hAnsi="Arial" w:cs="Arial"/>
                <w:b/>
                <w:color w:val="000000"/>
                <w:sz w:val="18"/>
                <w:szCs w:val="18"/>
              </w:rPr>
            </w:pPr>
            <w:r>
              <w:rPr>
                <w:rFonts w:ascii="Arial" w:eastAsia="Arial" w:hAnsi="Arial" w:cs="Arial"/>
                <w:b/>
                <w:color w:val="000000"/>
                <w:sz w:val="18"/>
                <w:szCs w:val="18"/>
              </w:rPr>
              <w:t>X</w:t>
            </w:r>
          </w:p>
        </w:tc>
        <w:tc>
          <w:tcPr>
            <w:tcW w:w="1170" w:type="dxa"/>
            <w:vAlign w:val="center"/>
          </w:tcPr>
          <w:p w14:paraId="6DC0ED1C" w14:textId="77777777" w:rsidR="008A388C" w:rsidRDefault="008A388C" w:rsidP="00797664">
            <w:pPr>
              <w:pBdr>
                <w:top w:val="nil"/>
                <w:left w:val="nil"/>
                <w:bottom w:val="nil"/>
                <w:right w:val="nil"/>
                <w:between w:val="nil"/>
              </w:pBdr>
              <w:spacing w:before="120" w:after="120" w:line="240" w:lineRule="auto"/>
              <w:jc w:val="center"/>
              <w:rPr>
                <w:rFonts w:ascii="Arial" w:eastAsia="Arial" w:hAnsi="Arial" w:cs="Arial"/>
                <w:b/>
                <w:color w:val="000000"/>
                <w:sz w:val="18"/>
                <w:szCs w:val="18"/>
              </w:rPr>
            </w:pPr>
            <w:r>
              <w:rPr>
                <w:rFonts w:ascii="Arial" w:eastAsia="Arial" w:hAnsi="Arial" w:cs="Arial"/>
                <w:b/>
                <w:color w:val="000000"/>
                <w:sz w:val="18"/>
                <w:szCs w:val="18"/>
              </w:rPr>
              <w:t>X</w:t>
            </w:r>
          </w:p>
        </w:tc>
        <w:tc>
          <w:tcPr>
            <w:tcW w:w="1260" w:type="dxa"/>
            <w:vAlign w:val="center"/>
          </w:tcPr>
          <w:p w14:paraId="1D552D55" w14:textId="77777777" w:rsidR="008A388C" w:rsidRDefault="008A388C" w:rsidP="00797664">
            <w:pPr>
              <w:pBdr>
                <w:top w:val="nil"/>
                <w:left w:val="nil"/>
                <w:bottom w:val="nil"/>
                <w:right w:val="nil"/>
                <w:between w:val="nil"/>
              </w:pBdr>
              <w:spacing w:before="120" w:after="120" w:line="240" w:lineRule="auto"/>
              <w:jc w:val="center"/>
              <w:rPr>
                <w:rFonts w:ascii="Arial" w:eastAsia="Arial" w:hAnsi="Arial" w:cs="Arial"/>
                <w:b/>
                <w:color w:val="000000"/>
                <w:sz w:val="18"/>
                <w:szCs w:val="18"/>
              </w:rPr>
            </w:pPr>
            <w:r>
              <w:rPr>
                <w:rFonts w:ascii="Arial" w:eastAsia="Arial" w:hAnsi="Arial" w:cs="Arial"/>
                <w:b/>
                <w:color w:val="000000"/>
                <w:sz w:val="18"/>
                <w:szCs w:val="18"/>
              </w:rPr>
              <w:t>X</w:t>
            </w:r>
          </w:p>
        </w:tc>
      </w:tr>
      <w:tr w:rsidR="008A388C" w14:paraId="5013A382" w14:textId="77777777" w:rsidTr="00797664">
        <w:trPr>
          <w:jc w:val="center"/>
        </w:trPr>
        <w:tc>
          <w:tcPr>
            <w:tcW w:w="2340" w:type="dxa"/>
            <w:vAlign w:val="center"/>
          </w:tcPr>
          <w:p w14:paraId="36CC7CD6" w14:textId="77777777" w:rsidR="008A388C" w:rsidRDefault="008A388C" w:rsidP="00797664">
            <w:pPr>
              <w:pBdr>
                <w:top w:val="nil"/>
                <w:left w:val="nil"/>
                <w:bottom w:val="nil"/>
                <w:right w:val="nil"/>
                <w:between w:val="nil"/>
              </w:pBdr>
              <w:spacing w:before="120" w:after="120" w:line="240" w:lineRule="auto"/>
              <w:rPr>
                <w:rFonts w:ascii="Arial" w:eastAsia="Arial" w:hAnsi="Arial" w:cs="Arial"/>
                <w:color w:val="000000"/>
                <w:sz w:val="18"/>
                <w:szCs w:val="18"/>
              </w:rPr>
            </w:pPr>
            <w:r>
              <w:rPr>
                <w:rFonts w:ascii="Arial" w:eastAsia="Arial" w:hAnsi="Arial" w:cs="Arial"/>
                <w:color w:val="000000"/>
                <w:sz w:val="18"/>
                <w:szCs w:val="18"/>
              </w:rPr>
              <w:t>Benthic or planktonic ash free dry mass, particulate organic C, N and/or P</w:t>
            </w:r>
          </w:p>
        </w:tc>
        <w:tc>
          <w:tcPr>
            <w:tcW w:w="1260" w:type="dxa"/>
            <w:vAlign w:val="center"/>
          </w:tcPr>
          <w:p w14:paraId="5DDDE6F2" w14:textId="77777777" w:rsidR="008A388C" w:rsidRDefault="008A388C" w:rsidP="00797664">
            <w:pPr>
              <w:pBdr>
                <w:top w:val="nil"/>
                <w:left w:val="nil"/>
                <w:bottom w:val="nil"/>
                <w:right w:val="nil"/>
                <w:between w:val="nil"/>
              </w:pBdr>
              <w:spacing w:before="120" w:after="120" w:line="240" w:lineRule="auto"/>
              <w:jc w:val="center"/>
              <w:rPr>
                <w:rFonts w:ascii="Arial" w:eastAsia="Arial" w:hAnsi="Arial" w:cs="Arial"/>
                <w:b/>
                <w:color w:val="000000"/>
                <w:sz w:val="18"/>
                <w:szCs w:val="18"/>
              </w:rPr>
            </w:pPr>
            <w:r>
              <w:rPr>
                <w:rFonts w:ascii="Arial" w:eastAsia="Arial" w:hAnsi="Arial" w:cs="Arial"/>
                <w:b/>
                <w:color w:val="000000"/>
                <w:sz w:val="18"/>
                <w:szCs w:val="18"/>
              </w:rPr>
              <w:t>X</w:t>
            </w:r>
          </w:p>
        </w:tc>
        <w:tc>
          <w:tcPr>
            <w:tcW w:w="1350" w:type="dxa"/>
            <w:vAlign w:val="center"/>
          </w:tcPr>
          <w:p w14:paraId="24F1BD83" w14:textId="77777777" w:rsidR="008A388C" w:rsidRDefault="008A388C" w:rsidP="00797664">
            <w:pPr>
              <w:pBdr>
                <w:top w:val="nil"/>
                <w:left w:val="nil"/>
                <w:bottom w:val="nil"/>
                <w:right w:val="nil"/>
                <w:between w:val="nil"/>
              </w:pBdr>
              <w:spacing w:before="120" w:after="120" w:line="240" w:lineRule="auto"/>
              <w:jc w:val="center"/>
              <w:rPr>
                <w:rFonts w:ascii="Arial" w:eastAsia="Arial" w:hAnsi="Arial" w:cs="Arial"/>
                <w:b/>
                <w:color w:val="000000"/>
                <w:sz w:val="18"/>
                <w:szCs w:val="18"/>
              </w:rPr>
            </w:pPr>
            <w:r>
              <w:rPr>
                <w:rFonts w:ascii="Arial" w:eastAsia="Arial" w:hAnsi="Arial" w:cs="Arial"/>
                <w:b/>
                <w:color w:val="000000"/>
                <w:sz w:val="18"/>
                <w:szCs w:val="18"/>
              </w:rPr>
              <w:t>X</w:t>
            </w:r>
          </w:p>
        </w:tc>
        <w:tc>
          <w:tcPr>
            <w:tcW w:w="1170" w:type="dxa"/>
            <w:vAlign w:val="center"/>
          </w:tcPr>
          <w:p w14:paraId="69001E22" w14:textId="77777777" w:rsidR="008A388C" w:rsidRDefault="008A388C" w:rsidP="00797664">
            <w:pPr>
              <w:pBdr>
                <w:top w:val="nil"/>
                <w:left w:val="nil"/>
                <w:bottom w:val="nil"/>
                <w:right w:val="nil"/>
                <w:between w:val="nil"/>
              </w:pBdr>
              <w:spacing w:before="120" w:after="120" w:line="240" w:lineRule="auto"/>
              <w:jc w:val="center"/>
              <w:rPr>
                <w:rFonts w:ascii="Arial" w:eastAsia="Arial" w:hAnsi="Arial" w:cs="Arial"/>
                <w:b/>
                <w:color w:val="000000"/>
                <w:sz w:val="18"/>
                <w:szCs w:val="18"/>
              </w:rPr>
            </w:pPr>
            <w:r>
              <w:rPr>
                <w:rFonts w:ascii="Arial" w:eastAsia="Arial" w:hAnsi="Arial" w:cs="Arial"/>
                <w:b/>
                <w:color w:val="000000"/>
                <w:sz w:val="18"/>
                <w:szCs w:val="18"/>
              </w:rPr>
              <w:t>X</w:t>
            </w:r>
          </w:p>
        </w:tc>
        <w:tc>
          <w:tcPr>
            <w:tcW w:w="1080" w:type="dxa"/>
            <w:vAlign w:val="center"/>
          </w:tcPr>
          <w:p w14:paraId="4490EC7F" w14:textId="77777777" w:rsidR="008A388C" w:rsidRDefault="008A388C" w:rsidP="00797664">
            <w:pPr>
              <w:pBdr>
                <w:top w:val="nil"/>
                <w:left w:val="nil"/>
                <w:bottom w:val="nil"/>
                <w:right w:val="nil"/>
                <w:between w:val="nil"/>
              </w:pBdr>
              <w:spacing w:before="120" w:after="120" w:line="240" w:lineRule="auto"/>
              <w:jc w:val="center"/>
              <w:rPr>
                <w:rFonts w:ascii="Arial" w:eastAsia="Arial" w:hAnsi="Arial" w:cs="Arial"/>
                <w:b/>
                <w:color w:val="000000"/>
                <w:sz w:val="18"/>
                <w:szCs w:val="18"/>
              </w:rPr>
            </w:pPr>
            <w:r>
              <w:rPr>
                <w:rFonts w:ascii="Arial" w:eastAsia="Arial" w:hAnsi="Arial" w:cs="Arial"/>
                <w:b/>
                <w:color w:val="000000"/>
                <w:sz w:val="18"/>
                <w:szCs w:val="18"/>
              </w:rPr>
              <w:t>X</w:t>
            </w:r>
          </w:p>
        </w:tc>
        <w:tc>
          <w:tcPr>
            <w:tcW w:w="1170" w:type="dxa"/>
            <w:vAlign w:val="center"/>
          </w:tcPr>
          <w:p w14:paraId="06CD9E6E" w14:textId="77777777" w:rsidR="008A388C" w:rsidRDefault="008A388C" w:rsidP="00797664">
            <w:pPr>
              <w:pBdr>
                <w:top w:val="nil"/>
                <w:left w:val="nil"/>
                <w:bottom w:val="nil"/>
                <w:right w:val="nil"/>
                <w:between w:val="nil"/>
              </w:pBdr>
              <w:spacing w:before="120" w:after="120" w:line="240" w:lineRule="auto"/>
              <w:jc w:val="center"/>
              <w:rPr>
                <w:rFonts w:ascii="Arial" w:eastAsia="Arial" w:hAnsi="Arial" w:cs="Arial"/>
                <w:b/>
                <w:color w:val="000000"/>
                <w:sz w:val="18"/>
                <w:szCs w:val="18"/>
              </w:rPr>
            </w:pPr>
            <w:r>
              <w:rPr>
                <w:rFonts w:ascii="Arial" w:eastAsia="Arial" w:hAnsi="Arial" w:cs="Arial"/>
                <w:b/>
                <w:color w:val="000000"/>
                <w:sz w:val="18"/>
                <w:szCs w:val="18"/>
              </w:rPr>
              <w:t>X</w:t>
            </w:r>
          </w:p>
        </w:tc>
        <w:tc>
          <w:tcPr>
            <w:tcW w:w="1260" w:type="dxa"/>
            <w:vAlign w:val="center"/>
          </w:tcPr>
          <w:p w14:paraId="194390B8" w14:textId="77777777" w:rsidR="008A388C" w:rsidRDefault="008A388C" w:rsidP="00797664">
            <w:pPr>
              <w:pBdr>
                <w:top w:val="nil"/>
                <w:left w:val="nil"/>
                <w:bottom w:val="nil"/>
                <w:right w:val="nil"/>
                <w:between w:val="nil"/>
              </w:pBdr>
              <w:spacing w:before="120" w:after="120" w:line="240" w:lineRule="auto"/>
              <w:jc w:val="center"/>
              <w:rPr>
                <w:rFonts w:ascii="Arial" w:eastAsia="Arial" w:hAnsi="Arial" w:cs="Arial"/>
                <w:b/>
                <w:color w:val="000000"/>
                <w:sz w:val="18"/>
                <w:szCs w:val="18"/>
              </w:rPr>
            </w:pPr>
            <w:r>
              <w:rPr>
                <w:rFonts w:ascii="Arial" w:eastAsia="Arial" w:hAnsi="Arial" w:cs="Arial"/>
                <w:b/>
                <w:color w:val="000000"/>
                <w:sz w:val="18"/>
                <w:szCs w:val="18"/>
              </w:rPr>
              <w:t>X</w:t>
            </w:r>
          </w:p>
        </w:tc>
      </w:tr>
      <w:tr w:rsidR="008A388C" w14:paraId="41917A6A" w14:textId="77777777" w:rsidTr="00797664">
        <w:trPr>
          <w:jc w:val="center"/>
        </w:trPr>
        <w:tc>
          <w:tcPr>
            <w:tcW w:w="2340" w:type="dxa"/>
            <w:vAlign w:val="center"/>
          </w:tcPr>
          <w:p w14:paraId="1C7482B4" w14:textId="77777777" w:rsidR="008A388C" w:rsidRDefault="008A388C" w:rsidP="00797664">
            <w:pPr>
              <w:pBdr>
                <w:top w:val="nil"/>
                <w:left w:val="nil"/>
                <w:bottom w:val="nil"/>
                <w:right w:val="nil"/>
                <w:between w:val="nil"/>
              </w:pBdr>
              <w:spacing w:before="120" w:after="120" w:line="240" w:lineRule="auto"/>
              <w:rPr>
                <w:rFonts w:ascii="Arial" w:eastAsia="Arial" w:hAnsi="Arial" w:cs="Arial"/>
                <w:color w:val="000000"/>
                <w:sz w:val="18"/>
                <w:szCs w:val="18"/>
              </w:rPr>
            </w:pPr>
            <w:r>
              <w:rPr>
                <w:rFonts w:ascii="Arial" w:eastAsia="Arial" w:hAnsi="Arial" w:cs="Arial"/>
                <w:color w:val="000000"/>
                <w:sz w:val="18"/>
                <w:szCs w:val="18"/>
              </w:rPr>
              <w:t>Planktonic or benthic algal community composition</w:t>
            </w:r>
          </w:p>
        </w:tc>
        <w:tc>
          <w:tcPr>
            <w:tcW w:w="1260" w:type="dxa"/>
            <w:vAlign w:val="center"/>
          </w:tcPr>
          <w:p w14:paraId="3CC6EA04" w14:textId="77777777" w:rsidR="008A388C" w:rsidRDefault="008A388C" w:rsidP="00797664">
            <w:pPr>
              <w:pBdr>
                <w:top w:val="nil"/>
                <w:left w:val="nil"/>
                <w:bottom w:val="nil"/>
                <w:right w:val="nil"/>
                <w:between w:val="nil"/>
              </w:pBdr>
              <w:spacing w:before="120" w:after="120" w:line="240" w:lineRule="auto"/>
              <w:jc w:val="center"/>
              <w:rPr>
                <w:rFonts w:ascii="Arial" w:eastAsia="Arial" w:hAnsi="Arial" w:cs="Arial"/>
                <w:b/>
                <w:color w:val="000000"/>
                <w:sz w:val="18"/>
                <w:szCs w:val="18"/>
              </w:rPr>
            </w:pPr>
            <w:r>
              <w:rPr>
                <w:rFonts w:ascii="Arial" w:eastAsia="Arial" w:hAnsi="Arial" w:cs="Arial"/>
                <w:b/>
                <w:color w:val="000000"/>
                <w:sz w:val="18"/>
                <w:szCs w:val="18"/>
              </w:rPr>
              <w:t>X</w:t>
            </w:r>
          </w:p>
        </w:tc>
        <w:tc>
          <w:tcPr>
            <w:tcW w:w="1350" w:type="dxa"/>
            <w:vAlign w:val="center"/>
          </w:tcPr>
          <w:p w14:paraId="360C5EE4" w14:textId="77777777" w:rsidR="008A388C" w:rsidRDefault="008A388C" w:rsidP="00797664">
            <w:pPr>
              <w:pBdr>
                <w:top w:val="nil"/>
                <w:left w:val="nil"/>
                <w:bottom w:val="nil"/>
                <w:right w:val="nil"/>
                <w:between w:val="nil"/>
              </w:pBdr>
              <w:spacing w:before="120" w:after="120" w:line="240" w:lineRule="auto"/>
              <w:jc w:val="center"/>
              <w:rPr>
                <w:rFonts w:ascii="Arial" w:eastAsia="Arial" w:hAnsi="Arial" w:cs="Arial"/>
                <w:b/>
                <w:color w:val="000000"/>
                <w:sz w:val="18"/>
                <w:szCs w:val="18"/>
              </w:rPr>
            </w:pPr>
            <w:r>
              <w:rPr>
                <w:rFonts w:ascii="Arial" w:eastAsia="Arial" w:hAnsi="Arial" w:cs="Arial"/>
                <w:b/>
                <w:color w:val="000000"/>
                <w:sz w:val="18"/>
                <w:szCs w:val="18"/>
              </w:rPr>
              <w:t>X</w:t>
            </w:r>
          </w:p>
        </w:tc>
        <w:tc>
          <w:tcPr>
            <w:tcW w:w="1170" w:type="dxa"/>
            <w:vAlign w:val="center"/>
          </w:tcPr>
          <w:p w14:paraId="13A11697" w14:textId="77777777" w:rsidR="008A388C" w:rsidRDefault="008A388C" w:rsidP="00797664">
            <w:pPr>
              <w:pBdr>
                <w:top w:val="nil"/>
                <w:left w:val="nil"/>
                <w:bottom w:val="nil"/>
                <w:right w:val="nil"/>
                <w:between w:val="nil"/>
              </w:pBdr>
              <w:spacing w:before="120" w:after="120" w:line="240" w:lineRule="auto"/>
              <w:jc w:val="center"/>
              <w:rPr>
                <w:rFonts w:ascii="Arial" w:eastAsia="Arial" w:hAnsi="Arial" w:cs="Arial"/>
                <w:b/>
                <w:color w:val="000000"/>
                <w:sz w:val="18"/>
                <w:szCs w:val="18"/>
              </w:rPr>
            </w:pPr>
            <w:r>
              <w:rPr>
                <w:rFonts w:ascii="Arial" w:eastAsia="Arial" w:hAnsi="Arial" w:cs="Arial"/>
                <w:b/>
                <w:color w:val="000000"/>
                <w:sz w:val="18"/>
                <w:szCs w:val="18"/>
              </w:rPr>
              <w:t>X</w:t>
            </w:r>
          </w:p>
        </w:tc>
        <w:tc>
          <w:tcPr>
            <w:tcW w:w="1080" w:type="dxa"/>
            <w:vAlign w:val="center"/>
          </w:tcPr>
          <w:p w14:paraId="25EC5674" w14:textId="77777777" w:rsidR="008A388C" w:rsidRDefault="008A388C" w:rsidP="00797664">
            <w:pPr>
              <w:pBdr>
                <w:top w:val="nil"/>
                <w:left w:val="nil"/>
                <w:bottom w:val="nil"/>
                <w:right w:val="nil"/>
                <w:between w:val="nil"/>
              </w:pBdr>
              <w:spacing w:before="120" w:after="120" w:line="240" w:lineRule="auto"/>
              <w:jc w:val="center"/>
              <w:rPr>
                <w:rFonts w:ascii="Arial" w:eastAsia="Arial" w:hAnsi="Arial" w:cs="Arial"/>
                <w:b/>
                <w:color w:val="000000"/>
                <w:sz w:val="18"/>
                <w:szCs w:val="18"/>
              </w:rPr>
            </w:pPr>
          </w:p>
        </w:tc>
        <w:tc>
          <w:tcPr>
            <w:tcW w:w="1170" w:type="dxa"/>
            <w:vAlign w:val="center"/>
          </w:tcPr>
          <w:p w14:paraId="76BD716F" w14:textId="77777777" w:rsidR="008A388C" w:rsidRDefault="008A388C" w:rsidP="00797664">
            <w:pPr>
              <w:pBdr>
                <w:top w:val="nil"/>
                <w:left w:val="nil"/>
                <w:bottom w:val="nil"/>
                <w:right w:val="nil"/>
                <w:between w:val="nil"/>
              </w:pBdr>
              <w:spacing w:before="120" w:after="120" w:line="240" w:lineRule="auto"/>
              <w:jc w:val="center"/>
              <w:rPr>
                <w:rFonts w:ascii="Arial" w:eastAsia="Arial" w:hAnsi="Arial" w:cs="Arial"/>
                <w:b/>
                <w:color w:val="000000"/>
                <w:sz w:val="18"/>
                <w:szCs w:val="18"/>
              </w:rPr>
            </w:pPr>
          </w:p>
        </w:tc>
        <w:tc>
          <w:tcPr>
            <w:tcW w:w="1260" w:type="dxa"/>
            <w:vAlign w:val="center"/>
          </w:tcPr>
          <w:p w14:paraId="5CB5B299" w14:textId="77777777" w:rsidR="008A388C" w:rsidRDefault="008A388C" w:rsidP="00797664">
            <w:pPr>
              <w:pBdr>
                <w:top w:val="nil"/>
                <w:left w:val="nil"/>
                <w:bottom w:val="nil"/>
                <w:right w:val="nil"/>
                <w:between w:val="nil"/>
              </w:pBdr>
              <w:spacing w:before="120" w:after="120" w:line="240" w:lineRule="auto"/>
              <w:jc w:val="center"/>
              <w:rPr>
                <w:rFonts w:ascii="Arial" w:eastAsia="Arial" w:hAnsi="Arial" w:cs="Arial"/>
                <w:b/>
                <w:color w:val="000000"/>
                <w:sz w:val="18"/>
                <w:szCs w:val="18"/>
              </w:rPr>
            </w:pPr>
          </w:p>
        </w:tc>
      </w:tr>
      <w:tr w:rsidR="008A388C" w14:paraId="504DF116" w14:textId="77777777" w:rsidTr="00797664">
        <w:trPr>
          <w:jc w:val="center"/>
        </w:trPr>
        <w:tc>
          <w:tcPr>
            <w:tcW w:w="2340" w:type="dxa"/>
            <w:vAlign w:val="center"/>
          </w:tcPr>
          <w:p w14:paraId="0511FE64" w14:textId="77777777" w:rsidR="008A388C" w:rsidRDefault="008A388C" w:rsidP="00797664">
            <w:pPr>
              <w:pBdr>
                <w:top w:val="nil"/>
                <w:left w:val="nil"/>
                <w:bottom w:val="nil"/>
                <w:right w:val="nil"/>
                <w:between w:val="nil"/>
              </w:pBdr>
              <w:spacing w:before="120" w:after="120" w:line="240" w:lineRule="auto"/>
              <w:rPr>
                <w:rFonts w:ascii="Arial" w:eastAsia="Arial" w:hAnsi="Arial" w:cs="Arial"/>
                <w:color w:val="000000"/>
                <w:sz w:val="18"/>
                <w:szCs w:val="18"/>
              </w:rPr>
            </w:pPr>
            <w:r>
              <w:rPr>
                <w:rFonts w:ascii="Arial" w:eastAsia="Arial" w:hAnsi="Arial" w:cs="Arial"/>
                <w:color w:val="000000"/>
                <w:sz w:val="18"/>
                <w:szCs w:val="18"/>
              </w:rPr>
              <w:t>Planktonic or benthic macroinvertebrate community composition</w:t>
            </w:r>
          </w:p>
        </w:tc>
        <w:tc>
          <w:tcPr>
            <w:tcW w:w="1260" w:type="dxa"/>
            <w:vAlign w:val="center"/>
          </w:tcPr>
          <w:p w14:paraId="1E58F98D" w14:textId="77777777" w:rsidR="008A388C" w:rsidRDefault="008A388C" w:rsidP="00797664">
            <w:pPr>
              <w:pBdr>
                <w:top w:val="nil"/>
                <w:left w:val="nil"/>
                <w:bottom w:val="nil"/>
                <w:right w:val="nil"/>
                <w:between w:val="nil"/>
              </w:pBdr>
              <w:spacing w:before="120" w:after="120" w:line="240" w:lineRule="auto"/>
              <w:jc w:val="center"/>
              <w:rPr>
                <w:rFonts w:ascii="Arial" w:eastAsia="Arial" w:hAnsi="Arial" w:cs="Arial"/>
                <w:b/>
                <w:color w:val="000000"/>
                <w:sz w:val="18"/>
                <w:szCs w:val="18"/>
              </w:rPr>
            </w:pPr>
            <w:r>
              <w:rPr>
                <w:rFonts w:ascii="Arial" w:eastAsia="Arial" w:hAnsi="Arial" w:cs="Arial"/>
                <w:b/>
                <w:color w:val="000000"/>
                <w:sz w:val="18"/>
                <w:szCs w:val="18"/>
              </w:rPr>
              <w:t>X</w:t>
            </w:r>
          </w:p>
        </w:tc>
        <w:tc>
          <w:tcPr>
            <w:tcW w:w="1350" w:type="dxa"/>
            <w:vAlign w:val="center"/>
          </w:tcPr>
          <w:p w14:paraId="566A6B0A" w14:textId="77777777" w:rsidR="008A388C" w:rsidRDefault="008A388C" w:rsidP="00797664">
            <w:pPr>
              <w:pBdr>
                <w:top w:val="nil"/>
                <w:left w:val="nil"/>
                <w:bottom w:val="nil"/>
                <w:right w:val="nil"/>
                <w:between w:val="nil"/>
              </w:pBdr>
              <w:spacing w:before="120" w:after="120" w:line="240" w:lineRule="auto"/>
              <w:jc w:val="center"/>
              <w:rPr>
                <w:rFonts w:ascii="Arial" w:eastAsia="Arial" w:hAnsi="Arial" w:cs="Arial"/>
                <w:b/>
                <w:color w:val="000000"/>
                <w:sz w:val="18"/>
                <w:szCs w:val="18"/>
              </w:rPr>
            </w:pPr>
            <w:r>
              <w:rPr>
                <w:rFonts w:ascii="Arial" w:eastAsia="Arial" w:hAnsi="Arial" w:cs="Arial"/>
                <w:b/>
                <w:color w:val="000000"/>
                <w:sz w:val="18"/>
                <w:szCs w:val="18"/>
              </w:rPr>
              <w:t>X</w:t>
            </w:r>
          </w:p>
        </w:tc>
        <w:tc>
          <w:tcPr>
            <w:tcW w:w="1170" w:type="dxa"/>
            <w:vAlign w:val="center"/>
          </w:tcPr>
          <w:p w14:paraId="4B995026" w14:textId="77777777" w:rsidR="008A388C" w:rsidRDefault="008A388C" w:rsidP="00797664">
            <w:pPr>
              <w:pBdr>
                <w:top w:val="nil"/>
                <w:left w:val="nil"/>
                <w:bottom w:val="nil"/>
                <w:right w:val="nil"/>
                <w:between w:val="nil"/>
              </w:pBdr>
              <w:spacing w:before="120" w:after="120" w:line="240" w:lineRule="auto"/>
              <w:jc w:val="center"/>
              <w:rPr>
                <w:rFonts w:ascii="Arial" w:eastAsia="Arial" w:hAnsi="Arial" w:cs="Arial"/>
                <w:b/>
                <w:color w:val="000000"/>
                <w:sz w:val="18"/>
                <w:szCs w:val="18"/>
              </w:rPr>
            </w:pPr>
          </w:p>
        </w:tc>
        <w:tc>
          <w:tcPr>
            <w:tcW w:w="1080" w:type="dxa"/>
            <w:vAlign w:val="center"/>
          </w:tcPr>
          <w:p w14:paraId="53A4A2C3" w14:textId="77777777" w:rsidR="008A388C" w:rsidRDefault="008A388C" w:rsidP="00797664">
            <w:pPr>
              <w:pBdr>
                <w:top w:val="nil"/>
                <w:left w:val="nil"/>
                <w:bottom w:val="nil"/>
                <w:right w:val="nil"/>
                <w:between w:val="nil"/>
              </w:pBdr>
              <w:spacing w:before="120" w:after="120" w:line="240" w:lineRule="auto"/>
              <w:jc w:val="center"/>
              <w:rPr>
                <w:rFonts w:ascii="Arial" w:eastAsia="Arial" w:hAnsi="Arial" w:cs="Arial"/>
                <w:b/>
                <w:color w:val="000000"/>
                <w:sz w:val="18"/>
                <w:szCs w:val="18"/>
              </w:rPr>
            </w:pPr>
          </w:p>
        </w:tc>
        <w:tc>
          <w:tcPr>
            <w:tcW w:w="1170" w:type="dxa"/>
            <w:vAlign w:val="center"/>
          </w:tcPr>
          <w:p w14:paraId="6E04EE53" w14:textId="77777777" w:rsidR="008A388C" w:rsidRDefault="008A388C" w:rsidP="00797664">
            <w:pPr>
              <w:pBdr>
                <w:top w:val="nil"/>
                <w:left w:val="nil"/>
                <w:bottom w:val="nil"/>
                <w:right w:val="nil"/>
                <w:between w:val="nil"/>
              </w:pBdr>
              <w:spacing w:before="120" w:after="120" w:line="240" w:lineRule="auto"/>
              <w:jc w:val="center"/>
              <w:rPr>
                <w:rFonts w:ascii="Arial" w:eastAsia="Arial" w:hAnsi="Arial" w:cs="Arial"/>
                <w:b/>
                <w:color w:val="000000"/>
                <w:sz w:val="18"/>
                <w:szCs w:val="18"/>
              </w:rPr>
            </w:pPr>
          </w:p>
        </w:tc>
        <w:tc>
          <w:tcPr>
            <w:tcW w:w="1260" w:type="dxa"/>
            <w:vAlign w:val="center"/>
          </w:tcPr>
          <w:p w14:paraId="4E37DE09" w14:textId="77777777" w:rsidR="008A388C" w:rsidRDefault="008A388C" w:rsidP="00797664">
            <w:pPr>
              <w:pBdr>
                <w:top w:val="nil"/>
                <w:left w:val="nil"/>
                <w:bottom w:val="nil"/>
                <w:right w:val="nil"/>
                <w:between w:val="nil"/>
              </w:pBdr>
              <w:spacing w:before="120" w:after="120" w:line="240" w:lineRule="auto"/>
              <w:jc w:val="center"/>
              <w:rPr>
                <w:rFonts w:ascii="Arial" w:eastAsia="Arial" w:hAnsi="Arial" w:cs="Arial"/>
                <w:b/>
                <w:color w:val="000000"/>
                <w:sz w:val="18"/>
                <w:szCs w:val="18"/>
              </w:rPr>
            </w:pPr>
          </w:p>
        </w:tc>
      </w:tr>
      <w:tr w:rsidR="008A388C" w14:paraId="710B2E56" w14:textId="77777777" w:rsidTr="00797664">
        <w:trPr>
          <w:jc w:val="center"/>
        </w:trPr>
        <w:tc>
          <w:tcPr>
            <w:tcW w:w="2340" w:type="dxa"/>
            <w:vAlign w:val="center"/>
          </w:tcPr>
          <w:p w14:paraId="5926AF75" w14:textId="77777777" w:rsidR="008A388C" w:rsidRDefault="008A388C" w:rsidP="00797664">
            <w:pPr>
              <w:pBdr>
                <w:top w:val="nil"/>
                <w:left w:val="nil"/>
                <w:bottom w:val="nil"/>
                <w:right w:val="nil"/>
                <w:between w:val="nil"/>
              </w:pBdr>
              <w:spacing w:before="120" w:after="120" w:line="240" w:lineRule="auto"/>
              <w:rPr>
                <w:rFonts w:ascii="Arial" w:eastAsia="Arial" w:hAnsi="Arial" w:cs="Arial"/>
                <w:color w:val="000000"/>
                <w:sz w:val="18"/>
                <w:szCs w:val="18"/>
              </w:rPr>
            </w:pPr>
            <w:r>
              <w:rPr>
                <w:rFonts w:ascii="Arial" w:eastAsia="Arial" w:hAnsi="Arial" w:cs="Arial"/>
                <w:color w:val="000000"/>
                <w:sz w:val="18"/>
                <w:szCs w:val="18"/>
              </w:rPr>
              <w:t>Aquatic macrophytes Diversity, biomass, shoot height, density and percent cover, epiphyte load</w:t>
            </w:r>
          </w:p>
        </w:tc>
        <w:tc>
          <w:tcPr>
            <w:tcW w:w="1260" w:type="dxa"/>
            <w:vAlign w:val="center"/>
          </w:tcPr>
          <w:p w14:paraId="3C260CDF" w14:textId="77777777" w:rsidR="008A388C" w:rsidRDefault="008A388C" w:rsidP="00797664">
            <w:pPr>
              <w:pBdr>
                <w:top w:val="nil"/>
                <w:left w:val="nil"/>
                <w:bottom w:val="nil"/>
                <w:right w:val="nil"/>
                <w:between w:val="nil"/>
              </w:pBdr>
              <w:spacing w:before="120" w:after="120" w:line="240" w:lineRule="auto"/>
              <w:jc w:val="center"/>
              <w:rPr>
                <w:rFonts w:ascii="Arial" w:eastAsia="Arial" w:hAnsi="Arial" w:cs="Arial"/>
                <w:b/>
                <w:color w:val="000000"/>
                <w:sz w:val="18"/>
                <w:szCs w:val="18"/>
              </w:rPr>
            </w:pPr>
            <w:r>
              <w:rPr>
                <w:rFonts w:ascii="Arial" w:eastAsia="Arial" w:hAnsi="Arial" w:cs="Arial"/>
                <w:b/>
                <w:color w:val="000000"/>
                <w:sz w:val="18"/>
                <w:szCs w:val="18"/>
              </w:rPr>
              <w:t>X</w:t>
            </w:r>
          </w:p>
        </w:tc>
        <w:tc>
          <w:tcPr>
            <w:tcW w:w="1350" w:type="dxa"/>
            <w:vAlign w:val="center"/>
          </w:tcPr>
          <w:p w14:paraId="1AC89A09" w14:textId="77777777" w:rsidR="008A388C" w:rsidRDefault="008A388C" w:rsidP="00797664">
            <w:pPr>
              <w:pBdr>
                <w:top w:val="nil"/>
                <w:left w:val="nil"/>
                <w:bottom w:val="nil"/>
                <w:right w:val="nil"/>
                <w:between w:val="nil"/>
              </w:pBdr>
              <w:spacing w:before="120" w:after="120" w:line="240" w:lineRule="auto"/>
              <w:jc w:val="center"/>
              <w:rPr>
                <w:rFonts w:ascii="Arial" w:eastAsia="Arial" w:hAnsi="Arial" w:cs="Arial"/>
                <w:b/>
                <w:color w:val="000000"/>
                <w:sz w:val="18"/>
                <w:szCs w:val="18"/>
              </w:rPr>
            </w:pPr>
            <w:r>
              <w:rPr>
                <w:rFonts w:ascii="Arial" w:eastAsia="Arial" w:hAnsi="Arial" w:cs="Arial"/>
                <w:b/>
                <w:color w:val="000000"/>
                <w:sz w:val="18"/>
                <w:szCs w:val="18"/>
              </w:rPr>
              <w:t>X</w:t>
            </w:r>
          </w:p>
        </w:tc>
        <w:tc>
          <w:tcPr>
            <w:tcW w:w="1170" w:type="dxa"/>
            <w:vAlign w:val="center"/>
          </w:tcPr>
          <w:p w14:paraId="1CCA08A3" w14:textId="77777777" w:rsidR="008A388C" w:rsidRDefault="008A388C" w:rsidP="00797664">
            <w:pPr>
              <w:pBdr>
                <w:top w:val="nil"/>
                <w:left w:val="nil"/>
                <w:bottom w:val="nil"/>
                <w:right w:val="nil"/>
                <w:between w:val="nil"/>
              </w:pBdr>
              <w:spacing w:before="120" w:after="120" w:line="240" w:lineRule="auto"/>
              <w:jc w:val="center"/>
              <w:rPr>
                <w:rFonts w:ascii="Arial" w:eastAsia="Arial" w:hAnsi="Arial" w:cs="Arial"/>
                <w:b/>
                <w:color w:val="000000"/>
                <w:sz w:val="18"/>
                <w:szCs w:val="18"/>
              </w:rPr>
            </w:pPr>
          </w:p>
        </w:tc>
        <w:tc>
          <w:tcPr>
            <w:tcW w:w="1080" w:type="dxa"/>
            <w:vAlign w:val="center"/>
          </w:tcPr>
          <w:p w14:paraId="0DBA25FE" w14:textId="77777777" w:rsidR="008A388C" w:rsidRDefault="008A388C" w:rsidP="00797664">
            <w:pPr>
              <w:pBdr>
                <w:top w:val="nil"/>
                <w:left w:val="nil"/>
                <w:bottom w:val="nil"/>
                <w:right w:val="nil"/>
                <w:between w:val="nil"/>
              </w:pBdr>
              <w:spacing w:before="120" w:after="120" w:line="240" w:lineRule="auto"/>
              <w:jc w:val="center"/>
              <w:rPr>
                <w:rFonts w:ascii="Arial" w:eastAsia="Arial" w:hAnsi="Arial" w:cs="Arial"/>
                <w:b/>
                <w:color w:val="000000"/>
                <w:sz w:val="18"/>
                <w:szCs w:val="18"/>
              </w:rPr>
            </w:pPr>
            <w:r>
              <w:rPr>
                <w:rFonts w:ascii="Arial" w:eastAsia="Arial" w:hAnsi="Arial" w:cs="Arial"/>
                <w:b/>
                <w:color w:val="000000"/>
                <w:sz w:val="18"/>
                <w:szCs w:val="18"/>
              </w:rPr>
              <w:t>X</w:t>
            </w:r>
          </w:p>
        </w:tc>
        <w:tc>
          <w:tcPr>
            <w:tcW w:w="1170" w:type="dxa"/>
            <w:vAlign w:val="center"/>
          </w:tcPr>
          <w:p w14:paraId="39502D68" w14:textId="77777777" w:rsidR="008A388C" w:rsidRDefault="008A388C" w:rsidP="00797664">
            <w:pPr>
              <w:pBdr>
                <w:top w:val="nil"/>
                <w:left w:val="nil"/>
                <w:bottom w:val="nil"/>
                <w:right w:val="nil"/>
                <w:between w:val="nil"/>
              </w:pBdr>
              <w:spacing w:before="120" w:after="120" w:line="240" w:lineRule="auto"/>
              <w:jc w:val="center"/>
              <w:rPr>
                <w:rFonts w:ascii="Arial" w:eastAsia="Arial" w:hAnsi="Arial" w:cs="Arial"/>
                <w:b/>
                <w:color w:val="000000"/>
                <w:sz w:val="18"/>
                <w:szCs w:val="18"/>
              </w:rPr>
            </w:pPr>
            <w:r>
              <w:rPr>
                <w:rFonts w:ascii="Arial" w:eastAsia="Arial" w:hAnsi="Arial" w:cs="Arial"/>
                <w:b/>
                <w:color w:val="000000"/>
                <w:sz w:val="18"/>
                <w:szCs w:val="18"/>
              </w:rPr>
              <w:t>X</w:t>
            </w:r>
          </w:p>
        </w:tc>
        <w:tc>
          <w:tcPr>
            <w:tcW w:w="1260" w:type="dxa"/>
            <w:vAlign w:val="center"/>
          </w:tcPr>
          <w:p w14:paraId="53EAC818" w14:textId="77777777" w:rsidR="008A388C" w:rsidRDefault="008A388C" w:rsidP="00797664">
            <w:pPr>
              <w:pBdr>
                <w:top w:val="nil"/>
                <w:left w:val="nil"/>
                <w:bottom w:val="nil"/>
                <w:right w:val="nil"/>
                <w:between w:val="nil"/>
              </w:pBdr>
              <w:spacing w:before="120" w:after="120" w:line="240" w:lineRule="auto"/>
              <w:jc w:val="center"/>
              <w:rPr>
                <w:rFonts w:ascii="Arial" w:eastAsia="Arial" w:hAnsi="Arial" w:cs="Arial"/>
                <w:b/>
                <w:color w:val="000000"/>
                <w:sz w:val="18"/>
                <w:szCs w:val="18"/>
              </w:rPr>
            </w:pPr>
          </w:p>
        </w:tc>
      </w:tr>
      <w:tr w:rsidR="008A388C" w14:paraId="071C9B72" w14:textId="77777777" w:rsidTr="00797664">
        <w:trPr>
          <w:jc w:val="center"/>
        </w:trPr>
        <w:tc>
          <w:tcPr>
            <w:tcW w:w="2340" w:type="dxa"/>
            <w:vAlign w:val="center"/>
          </w:tcPr>
          <w:p w14:paraId="54FD8F7A" w14:textId="77777777" w:rsidR="008A388C" w:rsidRDefault="008A388C" w:rsidP="00797664">
            <w:pPr>
              <w:pBdr>
                <w:top w:val="nil"/>
                <w:left w:val="nil"/>
                <w:bottom w:val="nil"/>
                <w:right w:val="nil"/>
                <w:between w:val="nil"/>
              </w:pBdr>
              <w:spacing w:before="120" w:after="120" w:line="240" w:lineRule="auto"/>
              <w:rPr>
                <w:rFonts w:ascii="Arial" w:eastAsia="Arial" w:hAnsi="Arial" w:cs="Arial"/>
                <w:color w:val="000000"/>
                <w:sz w:val="18"/>
                <w:szCs w:val="18"/>
              </w:rPr>
            </w:pPr>
            <w:r>
              <w:rPr>
                <w:rFonts w:ascii="Arial" w:eastAsia="Arial" w:hAnsi="Arial" w:cs="Arial"/>
                <w:color w:val="000000"/>
                <w:sz w:val="18"/>
                <w:szCs w:val="18"/>
              </w:rPr>
              <w:t>Harmful algal species abundance and toxin concentrations</w:t>
            </w:r>
          </w:p>
        </w:tc>
        <w:tc>
          <w:tcPr>
            <w:tcW w:w="1260" w:type="dxa"/>
            <w:vAlign w:val="center"/>
          </w:tcPr>
          <w:p w14:paraId="1E762D70" w14:textId="77777777" w:rsidR="008A388C" w:rsidRDefault="008A388C" w:rsidP="00797664">
            <w:pPr>
              <w:pBdr>
                <w:top w:val="nil"/>
                <w:left w:val="nil"/>
                <w:bottom w:val="nil"/>
                <w:right w:val="nil"/>
                <w:between w:val="nil"/>
              </w:pBdr>
              <w:spacing w:before="120" w:after="120" w:line="240" w:lineRule="auto"/>
              <w:jc w:val="center"/>
              <w:rPr>
                <w:rFonts w:ascii="Arial" w:eastAsia="Arial" w:hAnsi="Arial" w:cs="Arial"/>
                <w:b/>
                <w:color w:val="000000"/>
                <w:sz w:val="18"/>
                <w:szCs w:val="18"/>
              </w:rPr>
            </w:pPr>
            <w:r>
              <w:rPr>
                <w:rFonts w:ascii="Arial" w:eastAsia="Arial" w:hAnsi="Arial" w:cs="Arial"/>
                <w:b/>
                <w:color w:val="000000"/>
                <w:sz w:val="18"/>
                <w:szCs w:val="18"/>
              </w:rPr>
              <w:t>X</w:t>
            </w:r>
          </w:p>
        </w:tc>
        <w:tc>
          <w:tcPr>
            <w:tcW w:w="1350" w:type="dxa"/>
            <w:vAlign w:val="center"/>
          </w:tcPr>
          <w:p w14:paraId="36B9EDAA" w14:textId="77777777" w:rsidR="008A388C" w:rsidRDefault="008A388C" w:rsidP="00797664">
            <w:pPr>
              <w:pBdr>
                <w:top w:val="nil"/>
                <w:left w:val="nil"/>
                <w:bottom w:val="nil"/>
                <w:right w:val="nil"/>
                <w:between w:val="nil"/>
              </w:pBdr>
              <w:spacing w:before="120" w:after="120" w:line="240" w:lineRule="auto"/>
              <w:jc w:val="center"/>
              <w:rPr>
                <w:rFonts w:ascii="Arial" w:eastAsia="Arial" w:hAnsi="Arial" w:cs="Arial"/>
                <w:b/>
                <w:color w:val="000000"/>
                <w:sz w:val="18"/>
                <w:szCs w:val="18"/>
              </w:rPr>
            </w:pPr>
            <w:r>
              <w:rPr>
                <w:rFonts w:ascii="Arial" w:eastAsia="Arial" w:hAnsi="Arial" w:cs="Arial"/>
                <w:b/>
                <w:color w:val="000000"/>
                <w:sz w:val="18"/>
                <w:szCs w:val="18"/>
              </w:rPr>
              <w:t>X</w:t>
            </w:r>
          </w:p>
        </w:tc>
        <w:tc>
          <w:tcPr>
            <w:tcW w:w="1170" w:type="dxa"/>
            <w:vAlign w:val="center"/>
          </w:tcPr>
          <w:p w14:paraId="15DF73A5" w14:textId="77777777" w:rsidR="008A388C" w:rsidRDefault="008A388C" w:rsidP="00797664">
            <w:pPr>
              <w:pBdr>
                <w:top w:val="nil"/>
                <w:left w:val="nil"/>
                <w:bottom w:val="nil"/>
                <w:right w:val="nil"/>
                <w:between w:val="nil"/>
              </w:pBdr>
              <w:spacing w:before="120" w:after="120" w:line="240" w:lineRule="auto"/>
              <w:jc w:val="center"/>
              <w:rPr>
                <w:rFonts w:ascii="Arial" w:eastAsia="Arial" w:hAnsi="Arial" w:cs="Arial"/>
                <w:b/>
                <w:color w:val="000000"/>
                <w:sz w:val="18"/>
                <w:szCs w:val="18"/>
              </w:rPr>
            </w:pPr>
            <w:r>
              <w:rPr>
                <w:rFonts w:ascii="Arial" w:eastAsia="Arial" w:hAnsi="Arial" w:cs="Arial"/>
                <w:b/>
                <w:color w:val="000000"/>
                <w:sz w:val="18"/>
                <w:szCs w:val="18"/>
              </w:rPr>
              <w:t>X</w:t>
            </w:r>
          </w:p>
        </w:tc>
        <w:tc>
          <w:tcPr>
            <w:tcW w:w="1080" w:type="dxa"/>
            <w:vAlign w:val="center"/>
          </w:tcPr>
          <w:p w14:paraId="38642F19" w14:textId="77777777" w:rsidR="008A388C" w:rsidRDefault="008A388C" w:rsidP="00797664">
            <w:pPr>
              <w:pBdr>
                <w:top w:val="nil"/>
                <w:left w:val="nil"/>
                <w:bottom w:val="nil"/>
                <w:right w:val="nil"/>
                <w:between w:val="nil"/>
              </w:pBdr>
              <w:spacing w:before="120" w:after="120" w:line="240" w:lineRule="auto"/>
              <w:jc w:val="center"/>
              <w:rPr>
                <w:rFonts w:ascii="Arial" w:eastAsia="Arial" w:hAnsi="Arial" w:cs="Arial"/>
                <w:b/>
                <w:color w:val="000000"/>
                <w:sz w:val="18"/>
                <w:szCs w:val="18"/>
              </w:rPr>
            </w:pPr>
            <w:r>
              <w:rPr>
                <w:rFonts w:ascii="Arial" w:eastAsia="Arial" w:hAnsi="Arial" w:cs="Arial"/>
                <w:b/>
                <w:color w:val="000000"/>
                <w:sz w:val="18"/>
                <w:szCs w:val="18"/>
              </w:rPr>
              <w:t>X</w:t>
            </w:r>
          </w:p>
        </w:tc>
        <w:tc>
          <w:tcPr>
            <w:tcW w:w="1170" w:type="dxa"/>
            <w:vAlign w:val="center"/>
          </w:tcPr>
          <w:p w14:paraId="766FA7B9" w14:textId="77777777" w:rsidR="008A388C" w:rsidRDefault="008A388C" w:rsidP="00797664">
            <w:pPr>
              <w:pBdr>
                <w:top w:val="nil"/>
                <w:left w:val="nil"/>
                <w:bottom w:val="nil"/>
                <w:right w:val="nil"/>
                <w:between w:val="nil"/>
              </w:pBdr>
              <w:spacing w:before="120" w:after="120" w:line="240" w:lineRule="auto"/>
              <w:jc w:val="center"/>
              <w:rPr>
                <w:rFonts w:ascii="Arial" w:eastAsia="Arial" w:hAnsi="Arial" w:cs="Arial"/>
                <w:b/>
                <w:color w:val="000000"/>
                <w:sz w:val="18"/>
                <w:szCs w:val="18"/>
              </w:rPr>
            </w:pPr>
          </w:p>
        </w:tc>
        <w:tc>
          <w:tcPr>
            <w:tcW w:w="1260" w:type="dxa"/>
            <w:vAlign w:val="center"/>
          </w:tcPr>
          <w:p w14:paraId="348255A6" w14:textId="77777777" w:rsidR="008A388C" w:rsidRDefault="008A388C" w:rsidP="00797664">
            <w:pPr>
              <w:pBdr>
                <w:top w:val="nil"/>
                <w:left w:val="nil"/>
                <w:bottom w:val="nil"/>
                <w:right w:val="nil"/>
                <w:between w:val="nil"/>
              </w:pBdr>
              <w:spacing w:before="120" w:after="120" w:line="240" w:lineRule="auto"/>
              <w:jc w:val="center"/>
              <w:rPr>
                <w:rFonts w:ascii="Arial" w:eastAsia="Arial" w:hAnsi="Arial" w:cs="Arial"/>
                <w:b/>
                <w:color w:val="000000"/>
                <w:sz w:val="18"/>
                <w:szCs w:val="18"/>
              </w:rPr>
            </w:pPr>
            <w:r>
              <w:rPr>
                <w:rFonts w:ascii="Arial" w:eastAsia="Arial" w:hAnsi="Arial" w:cs="Arial"/>
                <w:b/>
                <w:color w:val="000000"/>
                <w:sz w:val="18"/>
                <w:szCs w:val="18"/>
              </w:rPr>
              <w:t>X</w:t>
            </w:r>
          </w:p>
        </w:tc>
      </w:tr>
      <w:tr w:rsidR="008A388C" w14:paraId="0CECD2B0" w14:textId="77777777" w:rsidTr="00797664">
        <w:trPr>
          <w:jc w:val="center"/>
        </w:trPr>
        <w:tc>
          <w:tcPr>
            <w:tcW w:w="2340" w:type="dxa"/>
            <w:vAlign w:val="center"/>
          </w:tcPr>
          <w:p w14:paraId="6F842B98" w14:textId="77777777" w:rsidR="008A388C" w:rsidRDefault="008A388C" w:rsidP="00797664">
            <w:pPr>
              <w:pBdr>
                <w:top w:val="nil"/>
                <w:left w:val="nil"/>
                <w:bottom w:val="nil"/>
                <w:right w:val="nil"/>
                <w:between w:val="nil"/>
              </w:pBdr>
              <w:spacing w:before="120" w:after="120" w:line="240" w:lineRule="auto"/>
              <w:rPr>
                <w:rFonts w:ascii="Arial" w:eastAsia="Arial" w:hAnsi="Arial" w:cs="Arial"/>
                <w:color w:val="000000"/>
                <w:sz w:val="18"/>
                <w:szCs w:val="18"/>
              </w:rPr>
            </w:pPr>
            <w:r>
              <w:rPr>
                <w:rFonts w:ascii="Arial" w:eastAsia="Arial" w:hAnsi="Arial" w:cs="Arial"/>
                <w:color w:val="000000"/>
                <w:sz w:val="18"/>
                <w:szCs w:val="18"/>
              </w:rPr>
              <w:t>Toxic nutrients or redox products (e.g. nitrate, phosphate, ammonia or sulfide)</w:t>
            </w:r>
          </w:p>
        </w:tc>
        <w:tc>
          <w:tcPr>
            <w:tcW w:w="1260" w:type="dxa"/>
            <w:vAlign w:val="center"/>
          </w:tcPr>
          <w:p w14:paraId="3C89557D" w14:textId="77777777" w:rsidR="008A388C" w:rsidRDefault="008A388C" w:rsidP="00797664">
            <w:pPr>
              <w:pBdr>
                <w:top w:val="nil"/>
                <w:left w:val="nil"/>
                <w:bottom w:val="nil"/>
                <w:right w:val="nil"/>
                <w:between w:val="nil"/>
              </w:pBdr>
              <w:spacing w:before="120" w:after="120" w:line="240" w:lineRule="auto"/>
              <w:jc w:val="center"/>
              <w:rPr>
                <w:rFonts w:ascii="Arial" w:eastAsia="Arial" w:hAnsi="Arial" w:cs="Arial"/>
                <w:b/>
                <w:color w:val="000000"/>
                <w:sz w:val="18"/>
                <w:szCs w:val="18"/>
              </w:rPr>
            </w:pPr>
            <w:r>
              <w:rPr>
                <w:rFonts w:ascii="Arial" w:eastAsia="Arial" w:hAnsi="Arial" w:cs="Arial"/>
                <w:b/>
                <w:color w:val="000000"/>
                <w:sz w:val="18"/>
                <w:szCs w:val="18"/>
              </w:rPr>
              <w:t>X</w:t>
            </w:r>
          </w:p>
        </w:tc>
        <w:tc>
          <w:tcPr>
            <w:tcW w:w="1350" w:type="dxa"/>
            <w:vAlign w:val="center"/>
          </w:tcPr>
          <w:p w14:paraId="7BA16C35" w14:textId="77777777" w:rsidR="008A388C" w:rsidRDefault="008A388C" w:rsidP="00797664">
            <w:pPr>
              <w:pBdr>
                <w:top w:val="nil"/>
                <w:left w:val="nil"/>
                <w:bottom w:val="nil"/>
                <w:right w:val="nil"/>
                <w:between w:val="nil"/>
              </w:pBdr>
              <w:spacing w:before="120" w:after="120" w:line="240" w:lineRule="auto"/>
              <w:jc w:val="center"/>
              <w:rPr>
                <w:rFonts w:ascii="Arial" w:eastAsia="Arial" w:hAnsi="Arial" w:cs="Arial"/>
                <w:b/>
                <w:color w:val="000000"/>
                <w:sz w:val="18"/>
                <w:szCs w:val="18"/>
              </w:rPr>
            </w:pPr>
            <w:r>
              <w:rPr>
                <w:rFonts w:ascii="Arial" w:eastAsia="Arial" w:hAnsi="Arial" w:cs="Arial"/>
                <w:b/>
                <w:color w:val="000000"/>
                <w:sz w:val="18"/>
                <w:szCs w:val="18"/>
              </w:rPr>
              <w:t>X</w:t>
            </w:r>
          </w:p>
        </w:tc>
        <w:tc>
          <w:tcPr>
            <w:tcW w:w="1170" w:type="dxa"/>
            <w:vAlign w:val="center"/>
          </w:tcPr>
          <w:p w14:paraId="7AC11840" w14:textId="77777777" w:rsidR="008A388C" w:rsidRDefault="008A388C" w:rsidP="00797664">
            <w:pPr>
              <w:pBdr>
                <w:top w:val="nil"/>
                <w:left w:val="nil"/>
                <w:bottom w:val="nil"/>
                <w:right w:val="nil"/>
                <w:between w:val="nil"/>
              </w:pBdr>
              <w:spacing w:before="120" w:after="120" w:line="240" w:lineRule="auto"/>
              <w:jc w:val="center"/>
              <w:rPr>
                <w:rFonts w:ascii="Arial" w:eastAsia="Arial" w:hAnsi="Arial" w:cs="Arial"/>
                <w:b/>
                <w:color w:val="000000"/>
                <w:sz w:val="18"/>
                <w:szCs w:val="18"/>
              </w:rPr>
            </w:pPr>
            <w:r>
              <w:rPr>
                <w:rFonts w:ascii="Arial" w:eastAsia="Arial" w:hAnsi="Arial" w:cs="Arial"/>
                <w:b/>
                <w:color w:val="000000"/>
                <w:sz w:val="18"/>
                <w:szCs w:val="18"/>
              </w:rPr>
              <w:t>X</w:t>
            </w:r>
          </w:p>
        </w:tc>
        <w:tc>
          <w:tcPr>
            <w:tcW w:w="1080" w:type="dxa"/>
            <w:vAlign w:val="center"/>
          </w:tcPr>
          <w:p w14:paraId="5CCC37C6" w14:textId="77777777" w:rsidR="008A388C" w:rsidRDefault="008A388C" w:rsidP="00797664">
            <w:pPr>
              <w:pBdr>
                <w:top w:val="nil"/>
                <w:left w:val="nil"/>
                <w:bottom w:val="nil"/>
                <w:right w:val="nil"/>
                <w:between w:val="nil"/>
              </w:pBdr>
              <w:spacing w:before="120" w:after="120" w:line="240" w:lineRule="auto"/>
              <w:jc w:val="center"/>
              <w:rPr>
                <w:rFonts w:ascii="Arial" w:eastAsia="Arial" w:hAnsi="Arial" w:cs="Arial"/>
                <w:b/>
                <w:color w:val="000000"/>
                <w:sz w:val="18"/>
                <w:szCs w:val="18"/>
              </w:rPr>
            </w:pPr>
          </w:p>
        </w:tc>
        <w:tc>
          <w:tcPr>
            <w:tcW w:w="1170" w:type="dxa"/>
            <w:vAlign w:val="center"/>
          </w:tcPr>
          <w:p w14:paraId="21848FC2" w14:textId="77777777" w:rsidR="008A388C" w:rsidRDefault="008A388C" w:rsidP="00797664">
            <w:pPr>
              <w:pBdr>
                <w:top w:val="nil"/>
                <w:left w:val="nil"/>
                <w:bottom w:val="nil"/>
                <w:right w:val="nil"/>
                <w:between w:val="nil"/>
              </w:pBdr>
              <w:spacing w:before="120" w:after="120" w:line="240" w:lineRule="auto"/>
              <w:jc w:val="center"/>
              <w:rPr>
                <w:rFonts w:ascii="Arial" w:eastAsia="Arial" w:hAnsi="Arial" w:cs="Arial"/>
                <w:b/>
                <w:color w:val="000000"/>
                <w:sz w:val="18"/>
                <w:szCs w:val="18"/>
              </w:rPr>
            </w:pPr>
          </w:p>
        </w:tc>
        <w:tc>
          <w:tcPr>
            <w:tcW w:w="1260" w:type="dxa"/>
            <w:vAlign w:val="center"/>
          </w:tcPr>
          <w:p w14:paraId="758BBD5F" w14:textId="77777777" w:rsidR="008A388C" w:rsidRDefault="008A388C" w:rsidP="00797664">
            <w:pPr>
              <w:pBdr>
                <w:top w:val="nil"/>
                <w:left w:val="nil"/>
                <w:bottom w:val="nil"/>
                <w:right w:val="nil"/>
                <w:between w:val="nil"/>
              </w:pBdr>
              <w:spacing w:before="120" w:after="120" w:line="240" w:lineRule="auto"/>
              <w:jc w:val="center"/>
              <w:rPr>
                <w:rFonts w:ascii="Arial" w:eastAsia="Arial" w:hAnsi="Arial" w:cs="Arial"/>
                <w:b/>
                <w:color w:val="000000"/>
                <w:sz w:val="18"/>
                <w:szCs w:val="18"/>
              </w:rPr>
            </w:pPr>
            <w:r>
              <w:rPr>
                <w:rFonts w:ascii="Arial" w:eastAsia="Arial" w:hAnsi="Arial" w:cs="Arial"/>
                <w:b/>
                <w:color w:val="000000"/>
                <w:sz w:val="18"/>
                <w:szCs w:val="18"/>
              </w:rPr>
              <w:t>X</w:t>
            </w:r>
          </w:p>
        </w:tc>
      </w:tr>
      <w:tr w:rsidR="008A388C" w14:paraId="1BFD2829" w14:textId="77777777" w:rsidTr="00797664">
        <w:trPr>
          <w:jc w:val="center"/>
        </w:trPr>
        <w:tc>
          <w:tcPr>
            <w:tcW w:w="2340" w:type="dxa"/>
            <w:vAlign w:val="center"/>
          </w:tcPr>
          <w:p w14:paraId="745B5013" w14:textId="77777777" w:rsidR="008A388C" w:rsidRDefault="008A388C" w:rsidP="00797664">
            <w:pPr>
              <w:pBdr>
                <w:top w:val="nil"/>
                <w:left w:val="nil"/>
                <w:bottom w:val="nil"/>
                <w:right w:val="nil"/>
                <w:between w:val="nil"/>
              </w:pBdr>
              <w:spacing w:before="120" w:after="120" w:line="240" w:lineRule="auto"/>
              <w:rPr>
                <w:rFonts w:ascii="Arial" w:eastAsia="Arial" w:hAnsi="Arial" w:cs="Arial"/>
                <w:color w:val="000000"/>
                <w:sz w:val="18"/>
                <w:szCs w:val="18"/>
              </w:rPr>
            </w:pPr>
            <w:r>
              <w:rPr>
                <w:rFonts w:ascii="Arial" w:eastAsia="Arial" w:hAnsi="Arial" w:cs="Arial"/>
                <w:color w:val="000000"/>
                <w:sz w:val="18"/>
                <w:szCs w:val="18"/>
              </w:rPr>
              <w:t>Heterotrophic bacteria biomass or abundance</w:t>
            </w:r>
          </w:p>
        </w:tc>
        <w:tc>
          <w:tcPr>
            <w:tcW w:w="1260" w:type="dxa"/>
            <w:vAlign w:val="center"/>
          </w:tcPr>
          <w:p w14:paraId="6E1BD432" w14:textId="77777777" w:rsidR="008A388C" w:rsidRDefault="008A388C" w:rsidP="00797664">
            <w:pPr>
              <w:pBdr>
                <w:top w:val="nil"/>
                <w:left w:val="nil"/>
                <w:bottom w:val="nil"/>
                <w:right w:val="nil"/>
                <w:between w:val="nil"/>
              </w:pBdr>
              <w:spacing w:before="120" w:after="120" w:line="240" w:lineRule="auto"/>
              <w:jc w:val="center"/>
              <w:rPr>
                <w:rFonts w:ascii="Arial" w:eastAsia="Arial" w:hAnsi="Arial" w:cs="Arial"/>
                <w:b/>
                <w:color w:val="000000"/>
                <w:sz w:val="18"/>
                <w:szCs w:val="18"/>
              </w:rPr>
            </w:pPr>
            <w:r>
              <w:rPr>
                <w:rFonts w:ascii="Arial" w:eastAsia="Arial" w:hAnsi="Arial" w:cs="Arial"/>
                <w:b/>
                <w:color w:val="000000"/>
                <w:sz w:val="18"/>
                <w:szCs w:val="18"/>
              </w:rPr>
              <w:t>X</w:t>
            </w:r>
          </w:p>
        </w:tc>
        <w:tc>
          <w:tcPr>
            <w:tcW w:w="1350" w:type="dxa"/>
            <w:vAlign w:val="center"/>
          </w:tcPr>
          <w:p w14:paraId="3CA88690" w14:textId="77777777" w:rsidR="008A388C" w:rsidRDefault="008A388C" w:rsidP="00797664">
            <w:pPr>
              <w:pBdr>
                <w:top w:val="nil"/>
                <w:left w:val="nil"/>
                <w:bottom w:val="nil"/>
                <w:right w:val="nil"/>
                <w:between w:val="nil"/>
              </w:pBdr>
              <w:spacing w:before="120" w:after="120" w:line="240" w:lineRule="auto"/>
              <w:jc w:val="center"/>
              <w:rPr>
                <w:rFonts w:ascii="Arial" w:eastAsia="Arial" w:hAnsi="Arial" w:cs="Arial"/>
                <w:b/>
                <w:color w:val="000000"/>
                <w:sz w:val="18"/>
                <w:szCs w:val="18"/>
              </w:rPr>
            </w:pPr>
          </w:p>
        </w:tc>
        <w:tc>
          <w:tcPr>
            <w:tcW w:w="1170" w:type="dxa"/>
            <w:vAlign w:val="center"/>
          </w:tcPr>
          <w:p w14:paraId="283F1AA8" w14:textId="77777777" w:rsidR="008A388C" w:rsidRDefault="008A388C" w:rsidP="00797664">
            <w:pPr>
              <w:pBdr>
                <w:top w:val="nil"/>
                <w:left w:val="nil"/>
                <w:bottom w:val="nil"/>
                <w:right w:val="nil"/>
                <w:between w:val="nil"/>
              </w:pBdr>
              <w:spacing w:before="120" w:after="120" w:line="240" w:lineRule="auto"/>
              <w:jc w:val="center"/>
              <w:rPr>
                <w:rFonts w:ascii="Arial" w:eastAsia="Arial" w:hAnsi="Arial" w:cs="Arial"/>
                <w:b/>
                <w:color w:val="000000"/>
                <w:sz w:val="18"/>
                <w:szCs w:val="18"/>
              </w:rPr>
            </w:pPr>
            <w:r>
              <w:rPr>
                <w:rFonts w:ascii="Arial" w:eastAsia="Arial" w:hAnsi="Arial" w:cs="Arial"/>
                <w:b/>
                <w:color w:val="000000"/>
                <w:sz w:val="18"/>
                <w:szCs w:val="18"/>
              </w:rPr>
              <w:t>X</w:t>
            </w:r>
          </w:p>
        </w:tc>
        <w:tc>
          <w:tcPr>
            <w:tcW w:w="1080" w:type="dxa"/>
            <w:vAlign w:val="center"/>
          </w:tcPr>
          <w:p w14:paraId="17EE586E" w14:textId="77777777" w:rsidR="008A388C" w:rsidRDefault="008A388C" w:rsidP="00797664">
            <w:pPr>
              <w:pBdr>
                <w:top w:val="nil"/>
                <w:left w:val="nil"/>
                <w:bottom w:val="nil"/>
                <w:right w:val="nil"/>
                <w:between w:val="nil"/>
              </w:pBdr>
              <w:spacing w:before="120" w:after="120" w:line="240" w:lineRule="auto"/>
              <w:jc w:val="center"/>
              <w:rPr>
                <w:rFonts w:ascii="Arial" w:eastAsia="Arial" w:hAnsi="Arial" w:cs="Arial"/>
                <w:b/>
                <w:color w:val="000000"/>
                <w:sz w:val="18"/>
                <w:szCs w:val="18"/>
              </w:rPr>
            </w:pPr>
          </w:p>
        </w:tc>
        <w:tc>
          <w:tcPr>
            <w:tcW w:w="1170" w:type="dxa"/>
            <w:vAlign w:val="center"/>
          </w:tcPr>
          <w:p w14:paraId="2DC32CAF" w14:textId="77777777" w:rsidR="008A388C" w:rsidRDefault="008A388C" w:rsidP="00797664">
            <w:pPr>
              <w:pBdr>
                <w:top w:val="nil"/>
                <w:left w:val="nil"/>
                <w:bottom w:val="nil"/>
                <w:right w:val="nil"/>
                <w:between w:val="nil"/>
              </w:pBdr>
              <w:spacing w:before="120" w:after="120" w:line="240" w:lineRule="auto"/>
              <w:jc w:val="center"/>
              <w:rPr>
                <w:rFonts w:ascii="Arial" w:eastAsia="Arial" w:hAnsi="Arial" w:cs="Arial"/>
                <w:b/>
                <w:color w:val="000000"/>
                <w:sz w:val="18"/>
                <w:szCs w:val="18"/>
              </w:rPr>
            </w:pPr>
          </w:p>
        </w:tc>
        <w:tc>
          <w:tcPr>
            <w:tcW w:w="1260" w:type="dxa"/>
            <w:vAlign w:val="center"/>
          </w:tcPr>
          <w:p w14:paraId="3395FC4F" w14:textId="77777777" w:rsidR="008A388C" w:rsidRDefault="008A388C" w:rsidP="00797664">
            <w:pPr>
              <w:pBdr>
                <w:top w:val="nil"/>
                <w:left w:val="nil"/>
                <w:bottom w:val="nil"/>
                <w:right w:val="nil"/>
                <w:between w:val="nil"/>
              </w:pBdr>
              <w:spacing w:before="120" w:after="120" w:line="240" w:lineRule="auto"/>
              <w:jc w:val="center"/>
              <w:rPr>
                <w:rFonts w:ascii="Arial" w:eastAsia="Arial" w:hAnsi="Arial" w:cs="Arial"/>
                <w:b/>
                <w:color w:val="000000"/>
                <w:sz w:val="18"/>
                <w:szCs w:val="18"/>
              </w:rPr>
            </w:pPr>
            <w:r>
              <w:rPr>
                <w:rFonts w:ascii="Arial" w:eastAsia="Arial" w:hAnsi="Arial" w:cs="Arial"/>
                <w:b/>
                <w:color w:val="000000"/>
                <w:sz w:val="18"/>
                <w:szCs w:val="18"/>
              </w:rPr>
              <w:t>X</w:t>
            </w:r>
          </w:p>
        </w:tc>
      </w:tr>
      <w:tr w:rsidR="008A388C" w14:paraId="12A83536" w14:textId="77777777" w:rsidTr="00797664">
        <w:trPr>
          <w:jc w:val="center"/>
        </w:trPr>
        <w:tc>
          <w:tcPr>
            <w:tcW w:w="2340" w:type="dxa"/>
            <w:vAlign w:val="center"/>
          </w:tcPr>
          <w:p w14:paraId="59FA6EFB" w14:textId="77777777" w:rsidR="008A388C" w:rsidRDefault="008A388C" w:rsidP="00797664">
            <w:pPr>
              <w:pBdr>
                <w:top w:val="nil"/>
                <w:left w:val="nil"/>
                <w:bottom w:val="nil"/>
                <w:right w:val="nil"/>
                <w:between w:val="nil"/>
              </w:pBdr>
              <w:spacing w:before="120" w:after="120" w:line="240" w:lineRule="auto"/>
              <w:rPr>
                <w:rFonts w:ascii="Arial" w:eastAsia="Arial" w:hAnsi="Arial" w:cs="Arial"/>
                <w:color w:val="000000"/>
                <w:sz w:val="18"/>
                <w:szCs w:val="18"/>
              </w:rPr>
            </w:pPr>
            <w:r>
              <w:rPr>
                <w:rFonts w:ascii="Arial" w:eastAsia="Arial" w:hAnsi="Arial" w:cs="Arial"/>
                <w:color w:val="000000"/>
                <w:sz w:val="18"/>
                <w:szCs w:val="18"/>
              </w:rPr>
              <w:t>Increased DOC and trihalomethanes</w:t>
            </w:r>
          </w:p>
        </w:tc>
        <w:tc>
          <w:tcPr>
            <w:tcW w:w="1260" w:type="dxa"/>
            <w:vAlign w:val="center"/>
          </w:tcPr>
          <w:p w14:paraId="778074F6" w14:textId="77777777" w:rsidR="008A388C" w:rsidRDefault="008A388C" w:rsidP="00797664">
            <w:pPr>
              <w:pBdr>
                <w:top w:val="nil"/>
                <w:left w:val="nil"/>
                <w:bottom w:val="nil"/>
                <w:right w:val="nil"/>
                <w:between w:val="nil"/>
              </w:pBdr>
              <w:spacing w:before="120" w:after="120" w:line="240" w:lineRule="auto"/>
              <w:jc w:val="center"/>
              <w:rPr>
                <w:rFonts w:ascii="Arial" w:eastAsia="Arial" w:hAnsi="Arial" w:cs="Arial"/>
                <w:b/>
                <w:color w:val="000000"/>
                <w:sz w:val="18"/>
                <w:szCs w:val="18"/>
              </w:rPr>
            </w:pPr>
          </w:p>
        </w:tc>
        <w:tc>
          <w:tcPr>
            <w:tcW w:w="1350" w:type="dxa"/>
            <w:vAlign w:val="center"/>
          </w:tcPr>
          <w:p w14:paraId="16140325" w14:textId="77777777" w:rsidR="008A388C" w:rsidRDefault="008A388C" w:rsidP="00797664">
            <w:pPr>
              <w:pBdr>
                <w:top w:val="nil"/>
                <w:left w:val="nil"/>
                <w:bottom w:val="nil"/>
                <w:right w:val="nil"/>
                <w:between w:val="nil"/>
              </w:pBdr>
              <w:spacing w:before="120" w:after="120" w:line="240" w:lineRule="auto"/>
              <w:jc w:val="center"/>
              <w:rPr>
                <w:rFonts w:ascii="Arial" w:eastAsia="Arial" w:hAnsi="Arial" w:cs="Arial"/>
                <w:b/>
                <w:color w:val="000000"/>
                <w:sz w:val="18"/>
                <w:szCs w:val="18"/>
              </w:rPr>
            </w:pPr>
          </w:p>
        </w:tc>
        <w:tc>
          <w:tcPr>
            <w:tcW w:w="1170" w:type="dxa"/>
            <w:vAlign w:val="center"/>
          </w:tcPr>
          <w:p w14:paraId="18C96CFF" w14:textId="77777777" w:rsidR="008A388C" w:rsidRDefault="008A388C" w:rsidP="00797664">
            <w:pPr>
              <w:pBdr>
                <w:top w:val="nil"/>
                <w:left w:val="nil"/>
                <w:bottom w:val="nil"/>
                <w:right w:val="nil"/>
                <w:between w:val="nil"/>
              </w:pBdr>
              <w:spacing w:before="120" w:after="120" w:line="240" w:lineRule="auto"/>
              <w:jc w:val="center"/>
              <w:rPr>
                <w:rFonts w:ascii="Arial" w:eastAsia="Arial" w:hAnsi="Arial" w:cs="Arial"/>
                <w:b/>
                <w:color w:val="000000"/>
                <w:sz w:val="18"/>
                <w:szCs w:val="18"/>
              </w:rPr>
            </w:pPr>
          </w:p>
        </w:tc>
        <w:tc>
          <w:tcPr>
            <w:tcW w:w="1080" w:type="dxa"/>
            <w:vAlign w:val="center"/>
          </w:tcPr>
          <w:p w14:paraId="02674237" w14:textId="77777777" w:rsidR="008A388C" w:rsidRDefault="008A388C" w:rsidP="00797664">
            <w:pPr>
              <w:pBdr>
                <w:top w:val="nil"/>
                <w:left w:val="nil"/>
                <w:bottom w:val="nil"/>
                <w:right w:val="nil"/>
                <w:between w:val="nil"/>
              </w:pBdr>
              <w:spacing w:before="120" w:after="120" w:line="240" w:lineRule="auto"/>
              <w:jc w:val="center"/>
              <w:rPr>
                <w:rFonts w:ascii="Arial" w:eastAsia="Arial" w:hAnsi="Arial" w:cs="Arial"/>
                <w:b/>
                <w:color w:val="000000"/>
                <w:sz w:val="18"/>
                <w:szCs w:val="18"/>
              </w:rPr>
            </w:pPr>
          </w:p>
        </w:tc>
        <w:tc>
          <w:tcPr>
            <w:tcW w:w="1170" w:type="dxa"/>
            <w:vAlign w:val="center"/>
          </w:tcPr>
          <w:p w14:paraId="4E63E7B6" w14:textId="77777777" w:rsidR="008A388C" w:rsidRDefault="008A388C" w:rsidP="00797664">
            <w:pPr>
              <w:pBdr>
                <w:top w:val="nil"/>
                <w:left w:val="nil"/>
                <w:bottom w:val="nil"/>
                <w:right w:val="nil"/>
                <w:between w:val="nil"/>
              </w:pBdr>
              <w:spacing w:before="120" w:after="120" w:line="240" w:lineRule="auto"/>
              <w:jc w:val="center"/>
              <w:rPr>
                <w:rFonts w:ascii="Arial" w:eastAsia="Arial" w:hAnsi="Arial" w:cs="Arial"/>
                <w:b/>
                <w:color w:val="000000"/>
                <w:sz w:val="18"/>
                <w:szCs w:val="18"/>
              </w:rPr>
            </w:pPr>
          </w:p>
        </w:tc>
        <w:tc>
          <w:tcPr>
            <w:tcW w:w="1260" w:type="dxa"/>
            <w:vAlign w:val="center"/>
          </w:tcPr>
          <w:p w14:paraId="69BCFFA4" w14:textId="77777777" w:rsidR="008A388C" w:rsidRDefault="008A388C" w:rsidP="00797664">
            <w:pPr>
              <w:pBdr>
                <w:top w:val="nil"/>
                <w:left w:val="nil"/>
                <w:bottom w:val="nil"/>
                <w:right w:val="nil"/>
                <w:between w:val="nil"/>
              </w:pBdr>
              <w:spacing w:before="120" w:after="120" w:line="240" w:lineRule="auto"/>
              <w:jc w:val="center"/>
              <w:rPr>
                <w:rFonts w:ascii="Arial" w:eastAsia="Arial" w:hAnsi="Arial" w:cs="Arial"/>
                <w:b/>
                <w:color w:val="000000"/>
                <w:sz w:val="18"/>
                <w:szCs w:val="18"/>
              </w:rPr>
            </w:pPr>
            <w:r>
              <w:rPr>
                <w:rFonts w:ascii="Arial" w:eastAsia="Arial" w:hAnsi="Arial" w:cs="Arial"/>
                <w:b/>
                <w:color w:val="000000"/>
                <w:sz w:val="18"/>
                <w:szCs w:val="18"/>
              </w:rPr>
              <w:t>X</w:t>
            </w:r>
          </w:p>
        </w:tc>
      </w:tr>
    </w:tbl>
    <w:p w14:paraId="5A0E0B0B" w14:textId="77777777" w:rsidR="008A388C" w:rsidRDefault="008A388C" w:rsidP="008A388C">
      <w:pPr>
        <w:pBdr>
          <w:top w:val="nil"/>
          <w:left w:val="nil"/>
          <w:bottom w:val="nil"/>
          <w:right w:val="nil"/>
          <w:between w:val="nil"/>
        </w:pBdr>
        <w:spacing w:after="120"/>
        <w:jc w:val="both"/>
        <w:rPr>
          <w:color w:val="000000"/>
        </w:rPr>
      </w:pPr>
    </w:p>
    <w:p w14:paraId="67CA8833" w14:textId="77777777" w:rsidR="008A388C" w:rsidRDefault="008A388C" w:rsidP="008A388C">
      <w:pPr>
        <w:spacing w:after="0" w:line="240" w:lineRule="auto"/>
        <w:rPr>
          <w:i/>
          <w:color w:val="4F81BD"/>
          <w:sz w:val="24"/>
          <w:szCs w:val="24"/>
        </w:rPr>
      </w:pPr>
      <w:bookmarkStart w:id="56" w:name="_1y810tw" w:colFirst="0" w:colLast="0"/>
      <w:bookmarkEnd w:id="56"/>
    </w:p>
    <w:p w14:paraId="5FD7F93F" w14:textId="77777777" w:rsidR="008A388C" w:rsidRDefault="008A388C" w:rsidP="008A388C">
      <w:pPr>
        <w:pStyle w:val="Heading3"/>
        <w:spacing w:before="0" w:after="200"/>
        <w:rPr>
          <w:rFonts w:ascii="Cambria" w:eastAsia="Cambria" w:hAnsi="Cambria" w:cs="Cambria"/>
        </w:rPr>
      </w:pPr>
      <w:bookmarkStart w:id="57" w:name="_Toc525589896"/>
      <w:bookmarkStart w:id="58" w:name="_Toc525595048"/>
      <w:bookmarkStart w:id="59" w:name="_Toc526196684"/>
      <w:r>
        <w:t>2.3.1</w:t>
      </w:r>
      <w:r>
        <w:tab/>
        <w:t>Changes in Aquatic Primary Producer (APP) Community Structure</w:t>
      </w:r>
      <w:bookmarkEnd w:id="57"/>
      <w:bookmarkEnd w:id="58"/>
      <w:bookmarkEnd w:id="59"/>
      <w:r>
        <w:t xml:space="preserve"> </w:t>
      </w:r>
    </w:p>
    <w:p w14:paraId="1FB7D100" w14:textId="3E83045E" w:rsidR="00544D95" w:rsidRDefault="008A388C" w:rsidP="00D72B42">
      <w:pPr>
        <w:jc w:val="both"/>
      </w:pPr>
      <w:r>
        <w:t>As a waterbody becomes increasing eutrophic, predictable changes occur with respect the types and relative abundance of the primary producer communities, as depicted in Figure 2.</w:t>
      </w:r>
      <w:r w:rsidR="000C0514">
        <w:t>2</w:t>
      </w:r>
      <w:r>
        <w:t>. Waterbodies in a “minimally disturbed” condition are typically dominated by a high diversity of primary producers that are tolerant of low nutrient conditions, including benthic and planktonic microalgae, aquatic vascular vegetation (e.g.</w:t>
      </w:r>
      <w:r w:rsidR="003C1AD1">
        <w:t>,</w:t>
      </w:r>
      <w:r>
        <w:t xml:space="preserve"> seagrasses), and soft-bodied algae (e.g.</w:t>
      </w:r>
      <w:r w:rsidR="003C1AD1">
        <w:t>,</w:t>
      </w:r>
      <w:r>
        <w:t xml:space="preserve"> macroalgae). Microalgae are complex communities comprised of multiple taxonomic groups including unicellular benthic and pelagic diatoms (phylum Bacillariophyta), filamentous cyanobacteria (Cyanophyta), chlorophytes (Chlorophyta), dinoflagellates (Dinophyta</w:t>
      </w:r>
      <w:r w:rsidRPr="007910B3">
        <w:t>), euglenoids (Euglenophyta), and cryptophytes (Cryptophyta) as well as other photosynthetic bacteria (MacIntyre 1996).</w:t>
      </w:r>
      <w:r>
        <w:t xml:space="preserve"> With increased nutrient availability, altered hydrology, temperature, light availability, and/or physical habitat disturbance (e.g.</w:t>
      </w:r>
      <w:r w:rsidR="003C1AD1">
        <w:t>,</w:t>
      </w:r>
      <w:r>
        <w:t xml:space="preserve"> bottom substrate), eutrophication can begin to occur, resulting in marked changes to primary producer biomass and community structure. The biomass of nutrient tolerant epiphytic micro-, macroalgae as well as opportunistic macroalgae increases; in deep or turbid open water habitats, phytoplankton biomass increases. High biomass opportunistic species can outcompete both microalgae and meadow-forming benthic submerged aquatic </w:t>
      </w:r>
      <w:r w:rsidRPr="007910B3">
        <w:t>vegetation. Eutrophication-tolerant benthic and planktonic harmful algal bloom species that can produce toxins harmful to aquatic life and human health can begin to proliferate (Fong et al. 1993 Valiela et al. 1997, Viaroli et al. 2008). In the extreme end of the eutrophication gradient, benthic and planktonic macroalgae, cyanobacteria, and picoplankton blooms dominate at extremely high biomass, causing dystrophy. These predictable changes along a gradient of increasing eutrophication provide the basis for selecting one or more primary producers as response indicators (Table 2.3). The precise indicators that will be relevant are dependent on the habitat type and waterbody class, as well as site–specific factors (e.g.</w:t>
      </w:r>
      <w:r w:rsidR="003C1AD1">
        <w:t>,</w:t>
      </w:r>
      <w:r w:rsidRPr="007910B3">
        <w:t xml:space="preserve"> light penetration, mixing) that modulate which primary producer dominates.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73"/>
        <w:gridCol w:w="4487"/>
      </w:tblGrid>
      <w:tr w:rsidR="00544D95" w14:paraId="797205E5" w14:textId="77777777" w:rsidTr="00E62EE7">
        <w:tc>
          <w:tcPr>
            <w:tcW w:w="4868" w:type="dxa"/>
          </w:tcPr>
          <w:p w14:paraId="582991E0" w14:textId="77777777" w:rsidR="00544D95" w:rsidRDefault="00544D95" w:rsidP="007245F5">
            <w:r w:rsidRPr="00B54927">
              <w:rPr>
                <w:noProof/>
                <w:lang w:eastAsia="zh-CN" w:bidi="ar-SA"/>
              </w:rPr>
              <w:drawing>
                <wp:inline distT="0" distB="0" distL="0" distR="0" wp14:anchorId="4769EBB4" wp14:editId="45844410">
                  <wp:extent cx="2980758" cy="1645920"/>
                  <wp:effectExtent l="0" t="0" r="0" b="0"/>
                  <wp:docPr id="1047" name="Picture 1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980758" cy="1645920"/>
                          </a:xfrm>
                          <a:prstGeom prst="rect">
                            <a:avLst/>
                          </a:prstGeom>
                          <a:noFill/>
                          <a:ln>
                            <a:noFill/>
                          </a:ln>
                        </pic:spPr>
                      </pic:pic>
                    </a:graphicData>
                  </a:graphic>
                </wp:inline>
              </w:drawing>
            </w:r>
          </w:p>
        </w:tc>
        <w:tc>
          <w:tcPr>
            <w:tcW w:w="4482" w:type="dxa"/>
          </w:tcPr>
          <w:p w14:paraId="4DCE2BC5" w14:textId="77777777" w:rsidR="00544D95" w:rsidRDefault="00544D95" w:rsidP="007245F5">
            <w:r w:rsidRPr="00B54927">
              <w:rPr>
                <w:noProof/>
                <w:lang w:eastAsia="zh-CN" w:bidi="ar-SA"/>
              </w:rPr>
              <w:drawing>
                <wp:inline distT="0" distB="0" distL="0" distR="0" wp14:anchorId="7E33F453" wp14:editId="2A30FE2D">
                  <wp:extent cx="2743200" cy="1738657"/>
                  <wp:effectExtent l="0" t="0" r="0" b="0"/>
                  <wp:docPr id="1048" name="Picture 1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743200" cy="1738657"/>
                          </a:xfrm>
                          <a:prstGeom prst="rect">
                            <a:avLst/>
                          </a:prstGeom>
                          <a:noFill/>
                          <a:ln>
                            <a:noFill/>
                          </a:ln>
                        </pic:spPr>
                      </pic:pic>
                    </a:graphicData>
                  </a:graphic>
                </wp:inline>
              </w:drawing>
            </w:r>
          </w:p>
        </w:tc>
      </w:tr>
      <w:tr w:rsidR="00544D95" w14:paraId="1DB587A7" w14:textId="77777777" w:rsidTr="00E62EE7">
        <w:tc>
          <w:tcPr>
            <w:tcW w:w="4868" w:type="dxa"/>
          </w:tcPr>
          <w:p w14:paraId="26592086" w14:textId="77777777" w:rsidR="00544D95" w:rsidRDefault="00544D95" w:rsidP="007245F5">
            <w:r w:rsidRPr="00B54927">
              <w:rPr>
                <w:noProof/>
                <w:lang w:eastAsia="zh-CN" w:bidi="ar-SA"/>
              </w:rPr>
              <w:drawing>
                <wp:inline distT="0" distB="0" distL="0" distR="0" wp14:anchorId="3493DF16" wp14:editId="27E2278F">
                  <wp:extent cx="2926080" cy="1573333"/>
                  <wp:effectExtent l="0" t="0" r="7620" b="8255"/>
                  <wp:docPr id="1049" name="Picture 1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0">
                            <a:extLst>
                              <a:ext uri="{28A0092B-C50C-407E-A947-70E740481C1C}">
                                <a14:useLocalDpi xmlns:a14="http://schemas.microsoft.com/office/drawing/2010/main" val="0"/>
                              </a:ext>
                            </a:extLst>
                          </a:blip>
                          <a:srcRect l="12306" r="32"/>
                          <a:stretch/>
                        </pic:blipFill>
                        <pic:spPr bwMode="auto">
                          <a:xfrm>
                            <a:off x="0" y="0"/>
                            <a:ext cx="2926080" cy="157333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482" w:type="dxa"/>
          </w:tcPr>
          <w:p w14:paraId="444171BF" w14:textId="77777777" w:rsidR="00544D95" w:rsidRDefault="00544D95" w:rsidP="007245F5">
            <w:r w:rsidRPr="00B54927">
              <w:rPr>
                <w:noProof/>
                <w:lang w:eastAsia="zh-CN" w:bidi="ar-SA"/>
              </w:rPr>
              <w:drawing>
                <wp:inline distT="0" distB="0" distL="0" distR="0" wp14:anchorId="2A146740" wp14:editId="6BC9D4F8">
                  <wp:extent cx="2743200" cy="1574110"/>
                  <wp:effectExtent l="0" t="0" r="0" b="7620"/>
                  <wp:docPr id="1050" name="Picture 1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1">
                            <a:extLst>
                              <a:ext uri="{28A0092B-C50C-407E-A947-70E740481C1C}">
                                <a14:useLocalDpi xmlns:a14="http://schemas.microsoft.com/office/drawing/2010/main" val="0"/>
                              </a:ext>
                            </a:extLst>
                          </a:blip>
                          <a:srcRect r="26277"/>
                          <a:stretch/>
                        </pic:blipFill>
                        <pic:spPr bwMode="auto">
                          <a:xfrm>
                            <a:off x="0" y="0"/>
                            <a:ext cx="2743200" cy="157411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544D95" w14:paraId="540E1E96" w14:textId="77777777" w:rsidTr="00E62EE7">
        <w:tc>
          <w:tcPr>
            <w:tcW w:w="4868" w:type="dxa"/>
          </w:tcPr>
          <w:p w14:paraId="5821CE49" w14:textId="77777777" w:rsidR="00544D95" w:rsidRDefault="00544D95" w:rsidP="007245F5">
            <w:r w:rsidRPr="00B54927">
              <w:rPr>
                <w:noProof/>
                <w:lang w:eastAsia="zh-CN" w:bidi="ar-SA"/>
              </w:rPr>
              <w:drawing>
                <wp:inline distT="0" distB="0" distL="0" distR="0" wp14:anchorId="38FC1C50" wp14:editId="3AD70A65">
                  <wp:extent cx="2902147" cy="1463040"/>
                  <wp:effectExtent l="0" t="0" r="0" b="3810"/>
                  <wp:docPr id="1051" name="Picture 1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902147" cy="1463040"/>
                          </a:xfrm>
                          <a:prstGeom prst="rect">
                            <a:avLst/>
                          </a:prstGeom>
                          <a:noFill/>
                          <a:ln>
                            <a:noFill/>
                          </a:ln>
                        </pic:spPr>
                      </pic:pic>
                    </a:graphicData>
                  </a:graphic>
                </wp:inline>
              </w:drawing>
            </w:r>
          </w:p>
        </w:tc>
        <w:tc>
          <w:tcPr>
            <w:tcW w:w="4482" w:type="dxa"/>
          </w:tcPr>
          <w:p w14:paraId="23F39E56" w14:textId="77777777" w:rsidR="00544D95" w:rsidRDefault="00544D95" w:rsidP="007245F5">
            <w:r w:rsidRPr="00B54927">
              <w:rPr>
                <w:noProof/>
                <w:lang w:eastAsia="zh-CN" w:bidi="ar-SA"/>
              </w:rPr>
              <w:drawing>
                <wp:inline distT="0" distB="0" distL="0" distR="0" wp14:anchorId="66B69CA8" wp14:editId="06A4BC51">
                  <wp:extent cx="2743200" cy="1462243"/>
                  <wp:effectExtent l="0" t="0" r="0" b="5080"/>
                  <wp:docPr id="1052" name="Picture 1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743200" cy="1462243"/>
                          </a:xfrm>
                          <a:prstGeom prst="rect">
                            <a:avLst/>
                          </a:prstGeom>
                          <a:noFill/>
                          <a:ln>
                            <a:noFill/>
                          </a:ln>
                        </pic:spPr>
                      </pic:pic>
                    </a:graphicData>
                  </a:graphic>
                </wp:inline>
              </w:drawing>
            </w:r>
          </w:p>
        </w:tc>
      </w:tr>
      <w:tr w:rsidR="00544D95" w14:paraId="264886D9" w14:textId="77777777" w:rsidTr="00E62EE7">
        <w:tc>
          <w:tcPr>
            <w:tcW w:w="4868" w:type="dxa"/>
          </w:tcPr>
          <w:p w14:paraId="3CB83610" w14:textId="77777777" w:rsidR="00544D95" w:rsidRDefault="00544D95" w:rsidP="007245F5">
            <w:r w:rsidRPr="00B54927">
              <w:rPr>
                <w:noProof/>
                <w:lang w:eastAsia="zh-CN" w:bidi="ar-SA"/>
              </w:rPr>
              <w:drawing>
                <wp:inline distT="0" distB="0" distL="0" distR="0" wp14:anchorId="78D91663" wp14:editId="3B3CBF30">
                  <wp:extent cx="2983499" cy="1645920"/>
                  <wp:effectExtent l="0" t="0" r="7620" b="0"/>
                  <wp:docPr id="1053" name="Picture 1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983499" cy="1645920"/>
                          </a:xfrm>
                          <a:prstGeom prst="rect">
                            <a:avLst/>
                          </a:prstGeom>
                          <a:noFill/>
                          <a:ln>
                            <a:noFill/>
                          </a:ln>
                        </pic:spPr>
                      </pic:pic>
                    </a:graphicData>
                  </a:graphic>
                </wp:inline>
              </w:drawing>
            </w:r>
          </w:p>
        </w:tc>
        <w:tc>
          <w:tcPr>
            <w:tcW w:w="4482" w:type="dxa"/>
          </w:tcPr>
          <w:p w14:paraId="01FEC7ED" w14:textId="77777777" w:rsidR="00544D95" w:rsidRDefault="00544D95" w:rsidP="007245F5">
            <w:r w:rsidRPr="00B54927">
              <w:rPr>
                <w:noProof/>
                <w:lang w:eastAsia="zh-CN" w:bidi="ar-SA"/>
              </w:rPr>
              <w:drawing>
                <wp:inline distT="0" distB="0" distL="0" distR="0" wp14:anchorId="247F6B95" wp14:editId="474EF01F">
                  <wp:extent cx="2743200" cy="1646169"/>
                  <wp:effectExtent l="0" t="0" r="0" b="0"/>
                  <wp:docPr id="1054" name="Picture 1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743200" cy="1646169"/>
                          </a:xfrm>
                          <a:prstGeom prst="rect">
                            <a:avLst/>
                          </a:prstGeom>
                          <a:noFill/>
                          <a:ln>
                            <a:noFill/>
                          </a:ln>
                        </pic:spPr>
                      </pic:pic>
                    </a:graphicData>
                  </a:graphic>
                </wp:inline>
              </w:drawing>
            </w:r>
          </w:p>
        </w:tc>
      </w:tr>
    </w:tbl>
    <w:p w14:paraId="0539B4E3" w14:textId="5814C7D9" w:rsidR="00544D95" w:rsidRPr="004E165F" w:rsidRDefault="004E165F" w:rsidP="004E165F">
      <w:pPr>
        <w:pStyle w:val="TOF"/>
      </w:pPr>
      <w:bookmarkStart w:id="60" w:name="_Toc526197077"/>
      <w:r w:rsidRPr="004E165F">
        <w:t>Figure 2.4 Examples of four major primary producer groups found in tidal flats, shallow and deepwater habitat types in esuaries: macroalgae on tidal flats (top left) and floadting macroalgae in a closed lagoon (top right), seagrass (second panel, left), and Ruppia sp., a type of brackish water SAV (second panel, right), microphytobenthos (third panel left and right) and phytoplankton (bottom panel left and right). (Figure and caption from Sutula 2011).</w:t>
      </w:r>
      <w:bookmarkEnd w:id="60"/>
    </w:p>
    <w:p w14:paraId="6E33EC5D" w14:textId="77777777" w:rsidR="00544D95" w:rsidRDefault="00544D95" w:rsidP="00544D95"/>
    <w:p w14:paraId="3EDE0F20" w14:textId="7E3A5853" w:rsidR="008A388C" w:rsidRDefault="008A388C" w:rsidP="00D72B42">
      <w:r w:rsidRPr="00D72B42">
        <w:t>Changes in algal community composition can provide a key indicator of impacts to aquatic life (</w:t>
      </w:r>
      <w:r w:rsidR="007910B3" w:rsidRPr="00D72B42">
        <w:t xml:space="preserve">Biggs and Smith 2002, Stevenson et al. 2006, Pan et al. 1996, 1999, </w:t>
      </w:r>
      <w:r w:rsidRPr="00D72B42">
        <w:t xml:space="preserve">Theroux et al. in prep). The State of California is developing an algal stream condition index (ASCI) that assesses overall health of the wadeable streams based on changes to algal community composition, relative to a population of reference </w:t>
      </w:r>
      <w:bookmarkStart w:id="61" w:name="_Hlk526134202"/>
      <w:r w:rsidRPr="00D72B42">
        <w:t xml:space="preserve">streams (Theroux et al. in prep).  This index </w:t>
      </w:r>
      <w:bookmarkEnd w:id="61"/>
      <w:r w:rsidRPr="00D72B42">
        <w:t>applies standard mathematical formulas to data on the number and diversity of algal species (diatoms and soft-bodied algae) to find a score that rates the disturbance of the community. Currently, no such algal index exists for California lakes and estuaries but may be the focus of future state-sponsored research. A key component of such research is the development of metabarcoding approaches to taxonomic identification of algal species across all waterbody types, since the impediments exist to routine morphological taxonomy of algae (</w:t>
      </w:r>
      <w:r w:rsidR="002E19E8">
        <w:t>Theroux et al. 2018</w:t>
      </w:r>
      <w:r w:rsidRPr="00D72B42">
        <w:t>).</w:t>
      </w:r>
    </w:p>
    <w:tbl>
      <w:tblPr>
        <w:tblW w:w="8676" w:type="dxa"/>
        <w:tblLayout w:type="fixed"/>
        <w:tblCellMar>
          <w:left w:w="115" w:type="dxa"/>
          <w:right w:w="115" w:type="dxa"/>
        </w:tblCellMar>
        <w:tblLook w:val="0400" w:firstRow="0" w:lastRow="0" w:firstColumn="0" w:lastColumn="0" w:noHBand="0" w:noVBand="1"/>
      </w:tblPr>
      <w:tblGrid>
        <w:gridCol w:w="4338"/>
        <w:gridCol w:w="4338"/>
      </w:tblGrid>
      <w:tr w:rsidR="008A388C" w14:paraId="3352AB05" w14:textId="77777777" w:rsidTr="00797664">
        <w:trPr>
          <w:trHeight w:val="4080"/>
        </w:trPr>
        <w:tc>
          <w:tcPr>
            <w:tcW w:w="4338" w:type="dxa"/>
          </w:tcPr>
          <w:p w14:paraId="67F71E9B" w14:textId="77777777" w:rsidR="008A388C" w:rsidRDefault="008A388C" w:rsidP="00797664">
            <w:pPr>
              <w:spacing w:after="0" w:line="240" w:lineRule="auto"/>
              <w:ind w:left="720"/>
              <w:rPr>
                <w:rFonts w:ascii="Arial" w:eastAsia="Arial" w:hAnsi="Arial" w:cs="Arial"/>
              </w:rPr>
            </w:pPr>
          </w:p>
          <w:p w14:paraId="0E5E144D" w14:textId="77777777" w:rsidR="008A388C" w:rsidRDefault="008A388C" w:rsidP="00783E18">
            <w:pPr>
              <w:numPr>
                <w:ilvl w:val="0"/>
                <w:numId w:val="25"/>
              </w:numPr>
              <w:spacing w:after="0" w:line="240" w:lineRule="auto"/>
              <w:rPr>
                <w:rFonts w:ascii="Arial" w:eastAsia="Arial" w:hAnsi="Arial" w:cs="Arial"/>
              </w:rPr>
            </w:pPr>
            <w:r>
              <w:rPr>
                <w:rFonts w:ascii="Arial" w:eastAsia="Arial" w:hAnsi="Arial" w:cs="Arial"/>
              </w:rPr>
              <w:t>Wadeable habitats</w:t>
            </w:r>
          </w:p>
          <w:p w14:paraId="4A3D8857" w14:textId="77777777" w:rsidR="008A388C" w:rsidRDefault="008A388C" w:rsidP="00797664">
            <w:pPr>
              <w:spacing w:after="0" w:line="240" w:lineRule="auto"/>
              <w:ind w:left="720"/>
              <w:rPr>
                <w:rFonts w:ascii="Arial" w:eastAsia="Arial" w:hAnsi="Arial" w:cs="Arial"/>
                <w:sz w:val="16"/>
                <w:szCs w:val="16"/>
              </w:rPr>
            </w:pPr>
          </w:p>
          <w:p w14:paraId="35A45E8D" w14:textId="77777777" w:rsidR="008A388C" w:rsidRDefault="008A388C" w:rsidP="00797664">
            <w:r>
              <w:rPr>
                <w:noProof/>
                <w:lang w:eastAsia="zh-CN" w:bidi="ar-SA"/>
              </w:rPr>
              <w:drawing>
                <wp:inline distT="0" distB="0" distL="0" distR="0" wp14:anchorId="0DE7EC0A" wp14:editId="5EC4AA7B">
                  <wp:extent cx="2628900" cy="2143125"/>
                  <wp:effectExtent l="0" t="0" r="0" b="9525"/>
                  <wp:docPr id="12"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36"/>
                          <a:srcRect l="49231" t="11137" r="11923" b="39132"/>
                          <a:stretch>
                            <a:fillRect/>
                          </a:stretch>
                        </pic:blipFill>
                        <pic:spPr>
                          <a:xfrm>
                            <a:off x="0" y="0"/>
                            <a:ext cx="2636596" cy="2149399"/>
                          </a:xfrm>
                          <a:prstGeom prst="rect">
                            <a:avLst/>
                          </a:prstGeom>
                          <a:ln/>
                        </pic:spPr>
                      </pic:pic>
                    </a:graphicData>
                  </a:graphic>
                </wp:inline>
              </w:drawing>
            </w:r>
          </w:p>
          <w:p w14:paraId="7DCC251B" w14:textId="77777777" w:rsidR="008A388C" w:rsidRDefault="008A388C" w:rsidP="00797664">
            <w:pPr>
              <w:rPr>
                <w:rFonts w:ascii="Arial" w:eastAsia="Arial" w:hAnsi="Arial" w:cs="Arial"/>
              </w:rPr>
            </w:pPr>
            <w:r>
              <w:rPr>
                <w:b/>
                <w:sz w:val="18"/>
                <w:szCs w:val="18"/>
              </w:rPr>
              <w:t xml:space="preserve">                       </w:t>
            </w:r>
            <w:r>
              <w:rPr>
                <w:rFonts w:ascii="Arial" w:eastAsia="Arial" w:hAnsi="Arial" w:cs="Arial"/>
              </w:rPr>
              <w:t>Eutrophication Gradient</w:t>
            </w:r>
          </w:p>
        </w:tc>
        <w:tc>
          <w:tcPr>
            <w:tcW w:w="4338" w:type="dxa"/>
          </w:tcPr>
          <w:p w14:paraId="1BB86D81" w14:textId="77777777" w:rsidR="008A388C" w:rsidRDefault="008A388C" w:rsidP="00797664">
            <w:pPr>
              <w:tabs>
                <w:tab w:val="left" w:pos="0"/>
              </w:tabs>
              <w:spacing w:after="0" w:line="240" w:lineRule="auto"/>
              <w:ind w:left="720"/>
              <w:rPr>
                <w:rFonts w:ascii="Arial" w:eastAsia="Arial" w:hAnsi="Arial" w:cs="Arial"/>
              </w:rPr>
            </w:pPr>
          </w:p>
          <w:p w14:paraId="0D4DA889" w14:textId="77777777" w:rsidR="008A388C" w:rsidRDefault="008A388C" w:rsidP="00783E18">
            <w:pPr>
              <w:numPr>
                <w:ilvl w:val="0"/>
                <w:numId w:val="25"/>
              </w:numPr>
              <w:tabs>
                <w:tab w:val="left" w:pos="0"/>
              </w:tabs>
              <w:spacing w:after="0" w:line="240" w:lineRule="auto"/>
              <w:rPr>
                <w:rFonts w:ascii="Arial" w:eastAsia="Arial" w:hAnsi="Arial" w:cs="Arial"/>
              </w:rPr>
            </w:pPr>
            <w:r>
              <w:rPr>
                <w:rFonts w:ascii="Arial" w:eastAsia="Arial" w:hAnsi="Arial" w:cs="Arial"/>
              </w:rPr>
              <w:t>Shallow aquatic beds</w:t>
            </w:r>
          </w:p>
          <w:p w14:paraId="77474BDC" w14:textId="77777777" w:rsidR="008A388C" w:rsidRDefault="008A388C" w:rsidP="00797664">
            <w:pPr>
              <w:tabs>
                <w:tab w:val="left" w:pos="0"/>
              </w:tabs>
              <w:spacing w:after="0" w:line="240" w:lineRule="auto"/>
              <w:ind w:left="720"/>
              <w:rPr>
                <w:rFonts w:ascii="Arial" w:eastAsia="Arial" w:hAnsi="Arial" w:cs="Arial"/>
              </w:rPr>
            </w:pPr>
          </w:p>
          <w:p w14:paraId="05362AB1" w14:textId="77777777" w:rsidR="008A388C" w:rsidRDefault="008A388C" w:rsidP="00797664">
            <w:r>
              <w:rPr>
                <w:noProof/>
                <w:lang w:eastAsia="zh-CN" w:bidi="ar-SA"/>
              </w:rPr>
              <w:drawing>
                <wp:inline distT="0" distB="0" distL="0" distR="0" wp14:anchorId="45533D7F" wp14:editId="12CCC305">
                  <wp:extent cx="2347913" cy="2043112"/>
                  <wp:effectExtent l="0" t="0" r="0" b="0"/>
                  <wp:docPr id="13"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36"/>
                          <a:srcRect l="7978" t="11137" r="52563" b="39397"/>
                          <a:stretch>
                            <a:fillRect/>
                          </a:stretch>
                        </pic:blipFill>
                        <pic:spPr>
                          <a:xfrm>
                            <a:off x="0" y="0"/>
                            <a:ext cx="2354079" cy="2048478"/>
                          </a:xfrm>
                          <a:prstGeom prst="rect">
                            <a:avLst/>
                          </a:prstGeom>
                          <a:ln/>
                        </pic:spPr>
                      </pic:pic>
                    </a:graphicData>
                  </a:graphic>
                </wp:inline>
              </w:drawing>
            </w:r>
          </w:p>
          <w:p w14:paraId="0A106DD8" w14:textId="5136EE51" w:rsidR="008A388C" w:rsidRDefault="00D72B42" w:rsidP="00D72B42">
            <w:pPr>
              <w:tabs>
                <w:tab w:val="left" w:pos="342"/>
              </w:tabs>
              <w:ind w:left="342"/>
              <w:rPr>
                <w:rFonts w:ascii="Arial" w:eastAsia="Arial" w:hAnsi="Arial" w:cs="Arial"/>
              </w:rPr>
            </w:pPr>
            <w:r>
              <w:rPr>
                <w:rFonts w:ascii="Arial" w:eastAsia="Arial" w:hAnsi="Arial" w:cs="Arial"/>
              </w:rPr>
              <w:t>Eutrophication Gradient</w:t>
            </w:r>
          </w:p>
        </w:tc>
      </w:tr>
      <w:tr w:rsidR="008A388C" w14:paraId="687AD545" w14:textId="77777777" w:rsidTr="00797664">
        <w:tc>
          <w:tcPr>
            <w:tcW w:w="4338" w:type="dxa"/>
          </w:tcPr>
          <w:p w14:paraId="0577B776" w14:textId="77777777" w:rsidR="008A388C" w:rsidRDefault="008A388C" w:rsidP="00797664">
            <w:pPr>
              <w:tabs>
                <w:tab w:val="left" w:pos="0"/>
              </w:tabs>
              <w:spacing w:after="0" w:line="240" w:lineRule="auto"/>
              <w:ind w:left="720"/>
              <w:rPr>
                <w:rFonts w:ascii="Arial" w:eastAsia="Arial" w:hAnsi="Arial" w:cs="Arial"/>
              </w:rPr>
            </w:pPr>
          </w:p>
          <w:p w14:paraId="5CC5D8C5" w14:textId="77777777" w:rsidR="008A388C" w:rsidRDefault="008A388C" w:rsidP="00783E18">
            <w:pPr>
              <w:numPr>
                <w:ilvl w:val="0"/>
                <w:numId w:val="25"/>
              </w:numPr>
              <w:tabs>
                <w:tab w:val="left" w:pos="0"/>
              </w:tabs>
              <w:spacing w:after="0" w:line="240" w:lineRule="auto"/>
              <w:rPr>
                <w:rFonts w:ascii="Arial" w:eastAsia="Arial" w:hAnsi="Arial" w:cs="Arial"/>
              </w:rPr>
            </w:pPr>
            <w:r>
              <w:rPr>
                <w:rFonts w:ascii="Arial" w:eastAsia="Arial" w:hAnsi="Arial" w:cs="Arial"/>
              </w:rPr>
              <w:t xml:space="preserve">Deepwater and turbid habitats </w:t>
            </w:r>
          </w:p>
          <w:p w14:paraId="2D19F288" w14:textId="77777777" w:rsidR="008A388C" w:rsidRDefault="008A388C" w:rsidP="00797664">
            <w:r>
              <w:rPr>
                <w:noProof/>
                <w:lang w:eastAsia="zh-CN" w:bidi="ar-SA"/>
              </w:rPr>
              <w:drawing>
                <wp:inline distT="0" distB="0" distL="0" distR="0" wp14:anchorId="162F2EE4" wp14:editId="5B90BC50">
                  <wp:extent cx="2533650" cy="1981200"/>
                  <wp:effectExtent l="0" t="0" r="0" b="0"/>
                  <wp:docPr id="14" name="image11.jpg"/>
                  <wp:cNvGraphicFramePr/>
                  <a:graphic xmlns:a="http://schemas.openxmlformats.org/drawingml/2006/main">
                    <a:graphicData uri="http://schemas.openxmlformats.org/drawingml/2006/picture">
                      <pic:pic xmlns:pic="http://schemas.openxmlformats.org/drawingml/2006/picture">
                        <pic:nvPicPr>
                          <pic:cNvPr id="0" name="image11.jpg"/>
                          <pic:cNvPicPr preferRelativeResize="0"/>
                        </pic:nvPicPr>
                        <pic:blipFill>
                          <a:blip r:embed="rId37"/>
                          <a:srcRect b="9434"/>
                          <a:stretch>
                            <a:fillRect/>
                          </a:stretch>
                        </pic:blipFill>
                        <pic:spPr>
                          <a:xfrm>
                            <a:off x="0" y="0"/>
                            <a:ext cx="2541075" cy="1987006"/>
                          </a:xfrm>
                          <a:prstGeom prst="rect">
                            <a:avLst/>
                          </a:prstGeom>
                          <a:ln/>
                        </pic:spPr>
                      </pic:pic>
                    </a:graphicData>
                  </a:graphic>
                </wp:inline>
              </w:drawing>
            </w:r>
          </w:p>
          <w:p w14:paraId="577A13A3" w14:textId="77777777" w:rsidR="008A388C" w:rsidRDefault="008A388C" w:rsidP="00797664">
            <w:pPr>
              <w:spacing w:after="0"/>
              <w:jc w:val="center"/>
            </w:pPr>
            <w:r>
              <w:rPr>
                <w:rFonts w:ascii="Arial" w:eastAsia="Arial" w:hAnsi="Arial" w:cs="Arial"/>
              </w:rPr>
              <w:t>Eutrophication Gradient</w:t>
            </w:r>
          </w:p>
        </w:tc>
        <w:tc>
          <w:tcPr>
            <w:tcW w:w="4338" w:type="dxa"/>
          </w:tcPr>
          <w:p w14:paraId="332A4FC5" w14:textId="77777777" w:rsidR="00D72B42" w:rsidRDefault="00D72B42" w:rsidP="00D72B42">
            <w:pPr>
              <w:pStyle w:val="TOF"/>
              <w:rPr>
                <w:rFonts w:eastAsia="Arial"/>
              </w:rPr>
            </w:pPr>
          </w:p>
          <w:p w14:paraId="15CA9CA7" w14:textId="2658AE7A" w:rsidR="00D72B42" w:rsidRPr="00D72B42" w:rsidRDefault="00D72B42" w:rsidP="00D72B42">
            <w:pPr>
              <w:pStyle w:val="TOF"/>
              <w:rPr>
                <w:rFonts w:eastAsia="Arial"/>
              </w:rPr>
            </w:pPr>
            <w:bookmarkStart w:id="62" w:name="_Toc526197078"/>
            <w:r w:rsidRPr="00D72B42">
              <w:rPr>
                <w:rFonts w:eastAsia="Arial"/>
              </w:rPr>
              <w:t xml:space="preserve">Figure 2.5. Conceptual model of relationship between biostimulatory conditions and relative dominance of primary producers in California waterbodies by major habitat type: shallow water wadeable habitats (e.g. streams, intertidal or shallow water flats (a), submerged aquatic vegetation (b), and deepwater or turbid habitats (c). </w:t>
            </w:r>
            <w:r w:rsidRPr="00D72B42">
              <w:t>* Depends on water residence time</w:t>
            </w:r>
            <w:r w:rsidRPr="00D72B42">
              <w:rPr>
                <w:rFonts w:eastAsia="Arial"/>
              </w:rPr>
              <w:t xml:space="preserve">; </w:t>
            </w:r>
            <w:r w:rsidRPr="00D72B42">
              <w:t>+ Mediated by herbivory</w:t>
            </w:r>
            <w:bookmarkEnd w:id="62"/>
          </w:p>
          <w:p w14:paraId="49C36808" w14:textId="485F5D61" w:rsidR="008A388C" w:rsidRDefault="008A388C" w:rsidP="00797664">
            <w:pPr>
              <w:tabs>
                <w:tab w:val="left" w:pos="342"/>
              </w:tabs>
              <w:ind w:left="342"/>
              <w:rPr>
                <w:rFonts w:ascii="Arial" w:eastAsia="Arial" w:hAnsi="Arial" w:cs="Arial"/>
              </w:rPr>
            </w:pPr>
          </w:p>
        </w:tc>
      </w:tr>
    </w:tbl>
    <w:p w14:paraId="3B4BCCC0" w14:textId="18E86433" w:rsidR="008A388C" w:rsidRDefault="008A388C" w:rsidP="008A388C">
      <w:bookmarkStart w:id="63" w:name="_2xcytpi" w:colFirst="0" w:colLast="0"/>
      <w:bookmarkEnd w:id="63"/>
    </w:p>
    <w:p w14:paraId="65FABB36" w14:textId="77777777" w:rsidR="008A388C" w:rsidRDefault="008A388C" w:rsidP="008A388C">
      <w:pPr>
        <w:pStyle w:val="Heading3"/>
        <w:spacing w:before="0" w:after="200"/>
        <w:rPr>
          <w:rFonts w:ascii="Cambria" w:eastAsia="Cambria" w:hAnsi="Cambria" w:cs="Cambria"/>
        </w:rPr>
      </w:pPr>
      <w:bookmarkStart w:id="64" w:name="_Toc525589897"/>
      <w:bookmarkStart w:id="65" w:name="_Toc525595049"/>
      <w:bookmarkStart w:id="66" w:name="_Toc526196685"/>
      <w:r>
        <w:t>2.3.2</w:t>
      </w:r>
      <w:r>
        <w:tab/>
        <w:t>Changes in Physical Habitat, Water and Benthic Chemistry</w:t>
      </w:r>
      <w:bookmarkEnd w:id="64"/>
      <w:bookmarkEnd w:id="65"/>
      <w:bookmarkEnd w:id="66"/>
      <w:r>
        <w:t xml:space="preserve">  </w:t>
      </w:r>
    </w:p>
    <w:p w14:paraId="5EED022C" w14:textId="77777777" w:rsidR="008A388C" w:rsidRDefault="008A388C" w:rsidP="008A388C">
      <w:pPr>
        <w:ind w:firstLine="720"/>
        <w:jc w:val="both"/>
      </w:pPr>
      <w:r>
        <w:t xml:space="preserve">As a waterbody becomes increasing eutrophic, legacy organic matter loading, organic matter deposited from upstream sources, as well as elevated live and dead aquatic primary producer (APP) biomass produced </w:t>
      </w:r>
      <w:r>
        <w:rPr>
          <w:i/>
        </w:rPr>
        <w:t>in situ</w:t>
      </w:r>
      <w:r>
        <w:t xml:space="preserve"> from available nutrients provide an elevated supply of labile organic matter, setting off a cascade of altered biogeochemical cycling in the sediments and surface waters and impacts to physical habitats. These effects include, but are not limited to: </w:t>
      </w:r>
    </w:p>
    <w:p w14:paraId="45793FFB" w14:textId="785736BD" w:rsidR="008A388C" w:rsidRPr="00FC3867" w:rsidRDefault="008A388C" w:rsidP="008A388C">
      <w:pPr>
        <w:jc w:val="both"/>
      </w:pPr>
      <w:bookmarkStart w:id="67" w:name="_Hlk526134343"/>
      <w:r w:rsidRPr="00FC3867">
        <w:t>1) change in physical habitat through altered water clarity (</w:t>
      </w:r>
      <w:r w:rsidR="00FC3867" w:rsidRPr="00FC3867">
        <w:t>Dennison et al., 1993</w:t>
      </w:r>
      <w:r w:rsidRPr="00FC3867">
        <w:t xml:space="preserve">), dampening of velocity, reducing reoxygenation at the surface and causing anoxic conditions at depth (Dodds and Biggs 2002) or changes in physical habitat from increased organic matter sedimentation or legacy organic matter that fundamentally alters benthic habitat for invertebrates and fish (Welch et al. 1989, Chessman et al. 1992, Hawkins et al 1982), </w:t>
      </w:r>
      <w:bookmarkEnd w:id="67"/>
    </w:p>
    <w:p w14:paraId="57984C89" w14:textId="77777777" w:rsidR="008A388C" w:rsidRPr="00FC3867" w:rsidRDefault="008A388C" w:rsidP="008A388C">
      <w:pPr>
        <w:jc w:val="both"/>
      </w:pPr>
      <w:r w:rsidRPr="00FC3867">
        <w:t xml:space="preserve">2) increased photosynthesis and respiration of live biomass and increased respiration of dead organic matter in the sediments and surface waters causes increased extent, frequency and duration of low DO and pH and/or carbonate saturation state waters, as well as large diurnal swings in DO and pH (Gray et al. 2002, Cloern 2001, Meyer-Reil and Koster 2000, Harper 1992; Mallin et al. 2006, Dodds 2007), </w:t>
      </w:r>
    </w:p>
    <w:p w14:paraId="08BD0122" w14:textId="2A2158D5" w:rsidR="008A388C" w:rsidRDefault="008A388C" w:rsidP="008A388C">
      <w:pPr>
        <w:jc w:val="both"/>
      </w:pPr>
      <w:r w:rsidRPr="00FC3867">
        <w:t>3) increased concentrations of water column sediment pore water ammonium, sulfide, increasing the potential for toxicity to benthic organisms (</w:t>
      </w:r>
      <w:r w:rsidR="00FC3867">
        <w:t xml:space="preserve">Figure 2.6, </w:t>
      </w:r>
      <w:r w:rsidRPr="00FC3867">
        <w:t xml:space="preserve">D'Avanzo and Kremer 1994, Nixon 1995, Diaz 2001, Howarth et al. 2002). </w:t>
      </w:r>
    </w:p>
    <w:p w14:paraId="55E13544" w14:textId="06B8D211" w:rsidR="008A388C" w:rsidRDefault="008A388C" w:rsidP="008A388C">
      <w:pPr>
        <w:jc w:val="both"/>
      </w:pPr>
      <w:bookmarkStart w:id="68" w:name="_Hlk526134360"/>
      <w:r>
        <w:t>4) The efficiency of nitrogen and carbon cycling decreases, fueling increased organic matter accumulation and retention of nitrogen within the waterbody, both in the water column as well as in the sediments (</w:t>
      </w:r>
      <w:r w:rsidR="00FC3867" w:rsidRPr="00F03ED5">
        <w:t>Pearson and Rosenberg 1978</w:t>
      </w:r>
      <w:r w:rsidR="00FC3867">
        <w:t>, Sutula et al. 2006, Middelburg and Levin 2009</w:t>
      </w:r>
      <w:r>
        <w:t>).</w:t>
      </w:r>
      <w:bookmarkEnd w:id="68"/>
      <w:r>
        <w:t xml:space="preserve"> </w:t>
      </w:r>
    </w:p>
    <w:p w14:paraId="3BC54938" w14:textId="152A4D48" w:rsidR="008A388C" w:rsidRDefault="008A388C" w:rsidP="008A388C">
      <w:pPr>
        <w:jc w:val="both"/>
      </w:pPr>
      <w:bookmarkStart w:id="69" w:name="_Hlk526134378"/>
      <w:r>
        <w:t>5) Increased exposure to benthic and planktonic harmful algal bloom toxins, which poses a significant risk to humans and their pets and livestock, aquatic life and wildlife (</w:t>
      </w:r>
      <w:r w:rsidR="00FC3867">
        <w:t>Anderson-Abbs et al. 2006</w:t>
      </w:r>
      <w:r>
        <w:t>). Toxins can be freely dissolved (released from cells), in a particulate form (sometimes forming surface scum), or shellfish or fish tissue, or aerosolized with spray from boats, etc. These toxins form multiple exposure pathways with which to impact human, aquatic and wildlife related uses. These studies have shown toxins to have far reaching effects downstream or far afield of their point of origin (</w:t>
      </w:r>
      <w:r w:rsidR="00FC3867" w:rsidRPr="00BC7F35">
        <w:t>Miller et al., 2010; Kudela, 2011</w:t>
      </w:r>
      <w:r>
        <w:t>).</w:t>
      </w:r>
    </w:p>
    <w:bookmarkEnd w:id="69"/>
    <w:p w14:paraId="1A96C92E" w14:textId="6169A77D" w:rsidR="008A388C" w:rsidRDefault="008A388C" w:rsidP="004E165F">
      <w:r>
        <w:t>6) Increased dissolved organic carbon (DOC) and exposure to</w:t>
      </w:r>
      <w:r>
        <w:rPr>
          <w:b/>
        </w:rPr>
        <w:t xml:space="preserve"> </w:t>
      </w:r>
      <w:r>
        <w:t xml:space="preserve">trihalomethanes (THMs), which are byproducts of drinking water treatment that result from the chlorination or bromination of certain DOC compounds.  The DOC content of natural waters can be increased by algal production; however, in most cases, the total DOC supply is dominated by loading of organic compounds from the watershed.  THMs include several known and suspected carcinogens, creating concern for drinking water safety.  </w:t>
      </w:r>
      <w:bookmarkStart w:id="70" w:name="_Hlk526134402"/>
      <w:r>
        <w:t xml:space="preserve">Algal </w:t>
      </w:r>
      <w:r w:rsidRPr="00FC3867">
        <w:t xml:space="preserve">metabolites and decomposition products present in raw water are candidates for THM production (USEPA 2000b; </w:t>
      </w:r>
      <w:r w:rsidR="00FC3867" w:rsidRPr="00FC3867">
        <w:t>Graham et al., 1998</w:t>
      </w:r>
      <w:r w:rsidRPr="00FC3867">
        <w:t>; Plummer and Edzwald 2001).  Higher levels of DOC also increase the amount and costs of disinfectants required</w:t>
      </w:r>
      <w:r>
        <w:t xml:space="preserve"> to achieve disinfection goals.</w:t>
      </w:r>
    </w:p>
    <w:p w14:paraId="219E925E" w14:textId="5B61DB1E" w:rsidR="00C34E7F" w:rsidRDefault="00C34E7F" w:rsidP="004E165F">
      <w:bookmarkStart w:id="71" w:name="_2bn6wsx" w:colFirst="0" w:colLast="0"/>
      <w:bookmarkStart w:id="72" w:name="_Toc525999665"/>
      <w:bookmarkEnd w:id="70"/>
      <w:bookmarkEnd w:id="71"/>
      <w:r w:rsidRPr="00B54927">
        <w:rPr>
          <w:noProof/>
          <w:lang w:eastAsia="zh-CN" w:bidi="ar-SA"/>
        </w:rPr>
        <w:drawing>
          <wp:inline distT="0" distB="0" distL="0" distR="0" wp14:anchorId="541FE5DD" wp14:editId="0D0882C7">
            <wp:extent cx="5943600" cy="3740150"/>
            <wp:effectExtent l="0" t="0" r="0" b="0"/>
            <wp:docPr id="1055" name="Picture 1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943600" cy="3740150"/>
                    </a:xfrm>
                    <a:prstGeom prst="rect">
                      <a:avLst/>
                    </a:prstGeom>
                    <a:noFill/>
                    <a:ln>
                      <a:noFill/>
                    </a:ln>
                  </pic:spPr>
                </pic:pic>
              </a:graphicData>
            </a:graphic>
          </wp:inline>
        </w:drawing>
      </w:r>
      <w:bookmarkEnd w:id="72"/>
    </w:p>
    <w:p w14:paraId="25B0A967" w14:textId="34FFCF0E" w:rsidR="008A388C" w:rsidRPr="00C34E7F" w:rsidRDefault="00C34E7F" w:rsidP="00C34E7F">
      <w:pPr>
        <w:pStyle w:val="TOF"/>
      </w:pPr>
      <w:bookmarkStart w:id="73" w:name="_Toc526197079"/>
      <w:r w:rsidRPr="00B54927">
        <w:t xml:space="preserve">Figure </w:t>
      </w:r>
      <w:r w:rsidR="00A44049">
        <w:t>2.6</w:t>
      </w:r>
      <w:r w:rsidRPr="00B54927">
        <w:t>. An illustration of the Pearson-Rosenberg (1978) conceptual model depicting changes in</w:t>
      </w:r>
      <w:r w:rsidR="00A44049">
        <w:t xml:space="preserve"> </w:t>
      </w:r>
      <w:r w:rsidRPr="00B54927">
        <w:t>macrobenthic community structure with increasing eutrophication and organic matter accumulation in the</w:t>
      </w:r>
      <w:r>
        <w:t xml:space="preserve"> </w:t>
      </w:r>
      <w:r w:rsidRPr="00B54927">
        <w:t>sediment. For discussion purposes, the model has been subdivided to highlight four primary condition</w:t>
      </w:r>
      <w:r>
        <w:t xml:space="preserve"> </w:t>
      </w:r>
      <w:r w:rsidRPr="00B54927">
        <w:t>categories associated with such increases: A – Non-eutrophic, B – Intermediate Eutrophication; C –Severe Eutrophication; and D - Anoxic bottom water and azoic sediments.</w:t>
      </w:r>
      <w:r>
        <w:t xml:space="preserve"> (Figure </w:t>
      </w:r>
      <w:r w:rsidR="00A44049">
        <w:t xml:space="preserve">and caption </w:t>
      </w:r>
      <w:r>
        <w:t>from Sutula 2011)</w:t>
      </w:r>
      <w:bookmarkEnd w:id="73"/>
      <w:r w:rsidR="008A388C">
        <w:br w:type="page"/>
      </w:r>
    </w:p>
    <w:p w14:paraId="055F9708" w14:textId="311C1AC8" w:rsidR="008A388C" w:rsidRDefault="008A388C" w:rsidP="008A388C">
      <w:pPr>
        <w:pStyle w:val="TOT"/>
        <w:rPr>
          <w:rFonts w:eastAsia="Arial"/>
        </w:rPr>
      </w:pPr>
      <w:bookmarkStart w:id="74" w:name="_sengn78dc1wf" w:colFirst="0" w:colLast="0"/>
      <w:bookmarkStart w:id="75" w:name="_Toc526428311"/>
      <w:bookmarkEnd w:id="74"/>
      <w:r>
        <w:rPr>
          <w:rFonts w:eastAsia="Arial"/>
        </w:rPr>
        <w:t>Table 2.4. Examples of indicators of altered water column and sediment chemistry applicable to assessment of eutrophication.</w:t>
      </w:r>
      <w:bookmarkEnd w:id="75"/>
      <w:r>
        <w:rPr>
          <w:rFonts w:eastAsia="Arial"/>
        </w:rPr>
        <w:t xml:space="preserve"> </w:t>
      </w:r>
    </w:p>
    <w:p w14:paraId="3F31D3BD" w14:textId="77777777" w:rsidR="008A388C" w:rsidRDefault="008A388C" w:rsidP="008A388C">
      <w:pPr>
        <w:pBdr>
          <w:top w:val="nil"/>
          <w:left w:val="nil"/>
          <w:bottom w:val="nil"/>
          <w:right w:val="nil"/>
          <w:between w:val="nil"/>
        </w:pBdr>
        <w:spacing w:after="0" w:line="240" w:lineRule="auto"/>
        <w:rPr>
          <w:rFonts w:ascii="Arial" w:eastAsia="Arial" w:hAnsi="Arial" w:cs="Arial"/>
          <w:color w:val="000000"/>
          <w:sz w:val="12"/>
          <w:szCs w:val="12"/>
        </w:rPr>
      </w:pPr>
    </w:p>
    <w:tbl>
      <w:tblPr>
        <w:tblW w:w="9450" w:type="dxa"/>
        <w:tblBorders>
          <w:top w:val="single" w:sz="18" w:space="0" w:color="000000"/>
          <w:left w:val="single" w:sz="8" w:space="0" w:color="B3CC82"/>
          <w:bottom w:val="single" w:sz="18" w:space="0" w:color="000000"/>
          <w:right w:val="single" w:sz="8" w:space="0" w:color="B3CC82"/>
          <w:insideH w:val="single" w:sz="4" w:space="0" w:color="FFFFFF"/>
          <w:insideV w:val="single" w:sz="6" w:space="0" w:color="FFFFFF"/>
        </w:tblBorders>
        <w:tblLayout w:type="fixed"/>
        <w:tblCellMar>
          <w:left w:w="115" w:type="dxa"/>
          <w:right w:w="115" w:type="dxa"/>
        </w:tblCellMar>
        <w:tblLook w:val="06A0" w:firstRow="1" w:lastRow="0" w:firstColumn="1" w:lastColumn="0" w:noHBand="1" w:noVBand="1"/>
      </w:tblPr>
      <w:tblGrid>
        <w:gridCol w:w="2317"/>
        <w:gridCol w:w="7133"/>
      </w:tblGrid>
      <w:tr w:rsidR="008A388C" w14:paraId="15095458" w14:textId="77777777" w:rsidTr="00797664">
        <w:trPr>
          <w:trHeight w:val="240"/>
        </w:trPr>
        <w:tc>
          <w:tcPr>
            <w:tcW w:w="2317" w:type="dxa"/>
            <w:shd w:val="clear" w:color="auto" w:fill="auto"/>
          </w:tcPr>
          <w:p w14:paraId="7594DE96" w14:textId="77777777" w:rsidR="008A388C" w:rsidRDefault="008A388C" w:rsidP="00797664">
            <w:pPr>
              <w:spacing w:before="40" w:after="120"/>
              <w:rPr>
                <w:rFonts w:ascii="Arial" w:eastAsia="Arial" w:hAnsi="Arial" w:cs="Arial"/>
                <w:b/>
                <w:i/>
                <w:color w:val="000000"/>
                <w:sz w:val="18"/>
                <w:szCs w:val="18"/>
              </w:rPr>
            </w:pPr>
            <w:r>
              <w:rPr>
                <w:rFonts w:ascii="Arial" w:eastAsia="Arial" w:hAnsi="Arial" w:cs="Arial"/>
                <w:color w:val="000000"/>
                <w:sz w:val="18"/>
                <w:szCs w:val="18"/>
              </w:rPr>
              <w:t>Indicator Group</w:t>
            </w:r>
          </w:p>
        </w:tc>
        <w:tc>
          <w:tcPr>
            <w:tcW w:w="7133" w:type="dxa"/>
            <w:shd w:val="clear" w:color="auto" w:fill="auto"/>
          </w:tcPr>
          <w:p w14:paraId="6B2C1408" w14:textId="77777777" w:rsidR="008A388C" w:rsidRDefault="008A388C" w:rsidP="00797664">
            <w:pPr>
              <w:spacing w:before="40" w:after="120"/>
              <w:rPr>
                <w:rFonts w:ascii="Arial" w:eastAsia="Arial" w:hAnsi="Arial" w:cs="Arial"/>
                <w:b/>
                <w:i/>
                <w:color w:val="000000"/>
                <w:sz w:val="18"/>
                <w:szCs w:val="18"/>
              </w:rPr>
            </w:pPr>
            <w:r>
              <w:rPr>
                <w:rFonts w:ascii="Arial" w:eastAsia="Arial" w:hAnsi="Arial" w:cs="Arial"/>
                <w:color w:val="000000"/>
                <w:sz w:val="18"/>
                <w:szCs w:val="18"/>
              </w:rPr>
              <w:t>Indicator or Metric</w:t>
            </w:r>
          </w:p>
        </w:tc>
      </w:tr>
      <w:tr w:rsidR="008A388C" w14:paraId="14737AF5" w14:textId="77777777" w:rsidTr="00797664">
        <w:trPr>
          <w:trHeight w:val="300"/>
        </w:trPr>
        <w:tc>
          <w:tcPr>
            <w:tcW w:w="2317" w:type="dxa"/>
            <w:vMerge w:val="restart"/>
            <w:shd w:val="clear" w:color="auto" w:fill="auto"/>
          </w:tcPr>
          <w:p w14:paraId="21F57AEE" w14:textId="77777777" w:rsidR="008A388C" w:rsidRDefault="008A388C" w:rsidP="00797664">
            <w:pPr>
              <w:spacing w:before="40" w:after="120" w:line="240" w:lineRule="auto"/>
              <w:rPr>
                <w:rFonts w:ascii="Arial" w:eastAsia="Arial" w:hAnsi="Arial" w:cs="Arial"/>
                <w:b/>
                <w:i/>
                <w:color w:val="000000"/>
                <w:sz w:val="18"/>
                <w:szCs w:val="18"/>
              </w:rPr>
            </w:pPr>
            <w:r>
              <w:rPr>
                <w:rFonts w:ascii="Arial" w:eastAsia="Arial" w:hAnsi="Arial" w:cs="Arial"/>
                <w:color w:val="000000"/>
                <w:sz w:val="18"/>
                <w:szCs w:val="18"/>
              </w:rPr>
              <w:t>Wate Column or Sediment Nutrients</w:t>
            </w:r>
          </w:p>
        </w:tc>
        <w:tc>
          <w:tcPr>
            <w:tcW w:w="7133" w:type="dxa"/>
            <w:shd w:val="clear" w:color="auto" w:fill="auto"/>
          </w:tcPr>
          <w:p w14:paraId="6179B076" w14:textId="77777777" w:rsidR="008A388C" w:rsidRDefault="008A388C" w:rsidP="00797664">
            <w:pPr>
              <w:spacing w:before="40" w:after="120" w:line="240" w:lineRule="auto"/>
              <w:rPr>
                <w:rFonts w:ascii="Arial" w:eastAsia="Arial" w:hAnsi="Arial" w:cs="Arial"/>
                <w:b/>
                <w:i/>
                <w:color w:val="000000"/>
                <w:sz w:val="18"/>
                <w:szCs w:val="18"/>
              </w:rPr>
            </w:pPr>
            <w:r>
              <w:rPr>
                <w:rFonts w:ascii="Arial" w:eastAsia="Arial" w:hAnsi="Arial" w:cs="Arial"/>
                <w:color w:val="000000"/>
                <w:sz w:val="18"/>
                <w:szCs w:val="18"/>
              </w:rPr>
              <w:t>Total Nitrogen and Phosphorus</w:t>
            </w:r>
          </w:p>
        </w:tc>
      </w:tr>
      <w:tr w:rsidR="008A388C" w14:paraId="4EDC6538" w14:textId="77777777" w:rsidTr="00797664">
        <w:trPr>
          <w:trHeight w:val="300"/>
        </w:trPr>
        <w:tc>
          <w:tcPr>
            <w:tcW w:w="2317" w:type="dxa"/>
            <w:vMerge/>
            <w:shd w:val="clear" w:color="auto" w:fill="auto"/>
          </w:tcPr>
          <w:p w14:paraId="2D40C58C" w14:textId="77777777" w:rsidR="008A388C" w:rsidRDefault="008A388C" w:rsidP="00797664">
            <w:pPr>
              <w:widowControl w:val="0"/>
              <w:pBdr>
                <w:top w:val="nil"/>
                <w:left w:val="nil"/>
                <w:bottom w:val="nil"/>
                <w:right w:val="nil"/>
                <w:between w:val="nil"/>
              </w:pBdr>
              <w:spacing w:after="0"/>
              <w:rPr>
                <w:rFonts w:ascii="Arial" w:eastAsia="Arial" w:hAnsi="Arial" w:cs="Arial"/>
                <w:sz w:val="18"/>
                <w:szCs w:val="18"/>
              </w:rPr>
            </w:pPr>
          </w:p>
        </w:tc>
        <w:tc>
          <w:tcPr>
            <w:tcW w:w="7133" w:type="dxa"/>
            <w:shd w:val="clear" w:color="auto" w:fill="auto"/>
          </w:tcPr>
          <w:p w14:paraId="28E75CB5" w14:textId="77777777" w:rsidR="008A388C" w:rsidRDefault="008A388C" w:rsidP="00797664">
            <w:pPr>
              <w:spacing w:before="40" w:after="120" w:line="240" w:lineRule="auto"/>
              <w:rPr>
                <w:rFonts w:ascii="Arial" w:eastAsia="Arial" w:hAnsi="Arial" w:cs="Arial"/>
                <w:b/>
                <w:i/>
                <w:color w:val="000000"/>
                <w:sz w:val="18"/>
                <w:szCs w:val="18"/>
              </w:rPr>
            </w:pPr>
            <w:r>
              <w:rPr>
                <w:rFonts w:ascii="Arial" w:eastAsia="Arial" w:hAnsi="Arial" w:cs="Arial"/>
                <w:color w:val="000000"/>
                <w:sz w:val="18"/>
                <w:szCs w:val="18"/>
              </w:rPr>
              <w:t>Dissolved organic and Inorganic Nitrogen (Ammonium, nitrate+nitrite)</w:t>
            </w:r>
          </w:p>
        </w:tc>
      </w:tr>
      <w:tr w:rsidR="008A388C" w14:paraId="5BA4668E" w14:textId="77777777" w:rsidTr="00797664">
        <w:trPr>
          <w:trHeight w:val="300"/>
        </w:trPr>
        <w:tc>
          <w:tcPr>
            <w:tcW w:w="2317" w:type="dxa"/>
            <w:vMerge/>
            <w:shd w:val="clear" w:color="auto" w:fill="auto"/>
          </w:tcPr>
          <w:p w14:paraId="7823EA89" w14:textId="77777777" w:rsidR="008A388C" w:rsidRDefault="008A388C" w:rsidP="00797664">
            <w:pPr>
              <w:widowControl w:val="0"/>
              <w:pBdr>
                <w:top w:val="nil"/>
                <w:left w:val="nil"/>
                <w:bottom w:val="nil"/>
                <w:right w:val="nil"/>
                <w:between w:val="nil"/>
              </w:pBdr>
              <w:spacing w:after="0"/>
              <w:rPr>
                <w:rFonts w:ascii="Arial" w:eastAsia="Arial" w:hAnsi="Arial" w:cs="Arial"/>
                <w:sz w:val="18"/>
                <w:szCs w:val="18"/>
              </w:rPr>
            </w:pPr>
          </w:p>
        </w:tc>
        <w:tc>
          <w:tcPr>
            <w:tcW w:w="7133" w:type="dxa"/>
            <w:shd w:val="clear" w:color="auto" w:fill="auto"/>
          </w:tcPr>
          <w:p w14:paraId="14E977C4" w14:textId="77777777" w:rsidR="008A388C" w:rsidRDefault="008A388C" w:rsidP="00797664">
            <w:pPr>
              <w:spacing w:before="40" w:after="120" w:line="240" w:lineRule="auto"/>
              <w:rPr>
                <w:rFonts w:ascii="Arial" w:eastAsia="Arial" w:hAnsi="Arial" w:cs="Arial"/>
                <w:b/>
                <w:i/>
                <w:color w:val="000000"/>
                <w:sz w:val="18"/>
                <w:szCs w:val="18"/>
              </w:rPr>
            </w:pPr>
            <w:r>
              <w:rPr>
                <w:rFonts w:ascii="Arial" w:eastAsia="Arial" w:hAnsi="Arial" w:cs="Arial"/>
                <w:color w:val="000000"/>
                <w:sz w:val="18"/>
                <w:szCs w:val="18"/>
              </w:rPr>
              <w:t>Urea</w:t>
            </w:r>
          </w:p>
        </w:tc>
      </w:tr>
      <w:tr w:rsidR="008A388C" w14:paraId="7274B350" w14:textId="77777777" w:rsidTr="00797664">
        <w:trPr>
          <w:trHeight w:val="300"/>
        </w:trPr>
        <w:tc>
          <w:tcPr>
            <w:tcW w:w="2317" w:type="dxa"/>
            <w:vMerge/>
            <w:shd w:val="clear" w:color="auto" w:fill="auto"/>
          </w:tcPr>
          <w:p w14:paraId="4CFF32F2" w14:textId="77777777" w:rsidR="008A388C" w:rsidRDefault="008A388C" w:rsidP="00797664">
            <w:pPr>
              <w:widowControl w:val="0"/>
              <w:pBdr>
                <w:top w:val="nil"/>
                <w:left w:val="nil"/>
                <w:bottom w:val="nil"/>
                <w:right w:val="nil"/>
                <w:between w:val="nil"/>
              </w:pBdr>
              <w:spacing w:after="0"/>
              <w:rPr>
                <w:rFonts w:ascii="Arial" w:eastAsia="Arial" w:hAnsi="Arial" w:cs="Arial"/>
                <w:sz w:val="18"/>
                <w:szCs w:val="18"/>
              </w:rPr>
            </w:pPr>
          </w:p>
        </w:tc>
        <w:tc>
          <w:tcPr>
            <w:tcW w:w="7133" w:type="dxa"/>
            <w:tcBorders>
              <w:bottom w:val="single" w:sz="4" w:space="0" w:color="000000"/>
            </w:tcBorders>
            <w:shd w:val="clear" w:color="auto" w:fill="auto"/>
          </w:tcPr>
          <w:p w14:paraId="75525430" w14:textId="77777777" w:rsidR="008A388C" w:rsidRDefault="008A388C" w:rsidP="00797664">
            <w:pPr>
              <w:spacing w:before="40" w:after="120" w:line="240" w:lineRule="auto"/>
              <w:rPr>
                <w:rFonts w:ascii="Arial" w:eastAsia="Arial" w:hAnsi="Arial" w:cs="Arial"/>
                <w:b/>
                <w:i/>
                <w:color w:val="000000"/>
                <w:sz w:val="18"/>
                <w:szCs w:val="18"/>
              </w:rPr>
            </w:pPr>
            <w:r>
              <w:rPr>
                <w:rFonts w:ascii="Arial" w:eastAsia="Arial" w:hAnsi="Arial" w:cs="Arial"/>
                <w:color w:val="000000"/>
                <w:sz w:val="18"/>
                <w:szCs w:val="18"/>
              </w:rPr>
              <w:t>Dissolved organic phosphorus and phosphate</w:t>
            </w:r>
          </w:p>
        </w:tc>
      </w:tr>
      <w:tr w:rsidR="008A388C" w14:paraId="404E1164" w14:textId="77777777" w:rsidTr="00797664">
        <w:trPr>
          <w:trHeight w:val="300"/>
        </w:trPr>
        <w:tc>
          <w:tcPr>
            <w:tcW w:w="2317" w:type="dxa"/>
            <w:vMerge w:val="restart"/>
            <w:tcBorders>
              <w:top w:val="single" w:sz="4" w:space="0" w:color="000000"/>
            </w:tcBorders>
            <w:shd w:val="clear" w:color="auto" w:fill="auto"/>
          </w:tcPr>
          <w:p w14:paraId="02100A43" w14:textId="77777777" w:rsidR="008A388C" w:rsidRDefault="008A388C" w:rsidP="00797664">
            <w:pPr>
              <w:spacing w:before="40" w:after="120" w:line="240" w:lineRule="auto"/>
              <w:rPr>
                <w:rFonts w:ascii="Arial" w:eastAsia="Arial" w:hAnsi="Arial" w:cs="Arial"/>
                <w:b/>
                <w:i/>
                <w:color w:val="000000"/>
                <w:sz w:val="18"/>
                <w:szCs w:val="18"/>
              </w:rPr>
            </w:pPr>
            <w:r>
              <w:rPr>
                <w:rFonts w:ascii="Arial" w:eastAsia="Arial" w:hAnsi="Arial" w:cs="Arial"/>
                <w:color w:val="000000"/>
                <w:sz w:val="18"/>
                <w:szCs w:val="18"/>
              </w:rPr>
              <w:t>Water Clarity</w:t>
            </w:r>
          </w:p>
        </w:tc>
        <w:tc>
          <w:tcPr>
            <w:tcW w:w="7133" w:type="dxa"/>
            <w:tcBorders>
              <w:top w:val="single" w:sz="4" w:space="0" w:color="000000"/>
            </w:tcBorders>
            <w:shd w:val="clear" w:color="auto" w:fill="auto"/>
          </w:tcPr>
          <w:p w14:paraId="3C666C1B" w14:textId="77777777" w:rsidR="008A388C" w:rsidRDefault="008A388C" w:rsidP="00797664">
            <w:pPr>
              <w:spacing w:before="40" w:after="120" w:line="240" w:lineRule="auto"/>
              <w:rPr>
                <w:rFonts w:ascii="Arial" w:eastAsia="Arial" w:hAnsi="Arial" w:cs="Arial"/>
                <w:b/>
                <w:i/>
                <w:color w:val="000000"/>
                <w:sz w:val="18"/>
                <w:szCs w:val="18"/>
              </w:rPr>
            </w:pPr>
            <w:r>
              <w:rPr>
                <w:rFonts w:ascii="Arial" w:eastAsia="Arial" w:hAnsi="Arial" w:cs="Arial"/>
                <w:color w:val="000000"/>
                <w:sz w:val="18"/>
                <w:szCs w:val="18"/>
              </w:rPr>
              <w:t>Secchi Depth</w:t>
            </w:r>
          </w:p>
        </w:tc>
      </w:tr>
      <w:tr w:rsidR="008A388C" w14:paraId="18909447" w14:textId="77777777" w:rsidTr="00797664">
        <w:trPr>
          <w:trHeight w:val="260"/>
        </w:trPr>
        <w:tc>
          <w:tcPr>
            <w:tcW w:w="2317" w:type="dxa"/>
            <w:vMerge/>
            <w:tcBorders>
              <w:top w:val="single" w:sz="4" w:space="0" w:color="000000"/>
            </w:tcBorders>
            <w:shd w:val="clear" w:color="auto" w:fill="auto"/>
          </w:tcPr>
          <w:p w14:paraId="0DFE020C" w14:textId="77777777" w:rsidR="008A388C" w:rsidRDefault="008A388C" w:rsidP="00797664">
            <w:pPr>
              <w:widowControl w:val="0"/>
              <w:pBdr>
                <w:top w:val="nil"/>
                <w:left w:val="nil"/>
                <w:bottom w:val="nil"/>
                <w:right w:val="nil"/>
                <w:between w:val="nil"/>
              </w:pBdr>
              <w:spacing w:after="0"/>
              <w:rPr>
                <w:rFonts w:ascii="Arial" w:eastAsia="Arial" w:hAnsi="Arial" w:cs="Arial"/>
                <w:sz w:val="18"/>
                <w:szCs w:val="18"/>
              </w:rPr>
            </w:pPr>
          </w:p>
        </w:tc>
        <w:tc>
          <w:tcPr>
            <w:tcW w:w="7133" w:type="dxa"/>
            <w:shd w:val="clear" w:color="auto" w:fill="auto"/>
          </w:tcPr>
          <w:p w14:paraId="64A13C3B" w14:textId="77777777" w:rsidR="008A388C" w:rsidRDefault="008A388C" w:rsidP="00797664">
            <w:pPr>
              <w:spacing w:before="40" w:after="120" w:line="240" w:lineRule="auto"/>
              <w:rPr>
                <w:rFonts w:ascii="Arial" w:eastAsia="Arial" w:hAnsi="Arial" w:cs="Arial"/>
                <w:b/>
                <w:i/>
                <w:color w:val="000000"/>
                <w:sz w:val="18"/>
                <w:szCs w:val="18"/>
              </w:rPr>
            </w:pPr>
            <w:r>
              <w:rPr>
                <w:rFonts w:ascii="Arial" w:eastAsia="Arial" w:hAnsi="Arial" w:cs="Arial"/>
                <w:color w:val="000000"/>
                <w:sz w:val="18"/>
                <w:szCs w:val="18"/>
              </w:rPr>
              <w:t>Kd (Light extinction)</w:t>
            </w:r>
          </w:p>
        </w:tc>
      </w:tr>
      <w:tr w:rsidR="008A388C" w14:paraId="30148C38" w14:textId="77777777" w:rsidTr="00797664">
        <w:trPr>
          <w:trHeight w:val="260"/>
        </w:trPr>
        <w:tc>
          <w:tcPr>
            <w:tcW w:w="2317" w:type="dxa"/>
            <w:vMerge/>
            <w:tcBorders>
              <w:top w:val="single" w:sz="4" w:space="0" w:color="000000"/>
            </w:tcBorders>
            <w:shd w:val="clear" w:color="auto" w:fill="auto"/>
          </w:tcPr>
          <w:p w14:paraId="7D953065" w14:textId="77777777" w:rsidR="008A388C" w:rsidRDefault="008A388C" w:rsidP="00797664">
            <w:pPr>
              <w:widowControl w:val="0"/>
              <w:pBdr>
                <w:top w:val="nil"/>
                <w:left w:val="nil"/>
                <w:bottom w:val="nil"/>
                <w:right w:val="nil"/>
                <w:between w:val="nil"/>
              </w:pBdr>
              <w:spacing w:after="0"/>
              <w:rPr>
                <w:rFonts w:ascii="Arial" w:eastAsia="Arial" w:hAnsi="Arial" w:cs="Arial"/>
                <w:sz w:val="18"/>
                <w:szCs w:val="18"/>
              </w:rPr>
            </w:pPr>
          </w:p>
        </w:tc>
        <w:tc>
          <w:tcPr>
            <w:tcW w:w="7133" w:type="dxa"/>
            <w:tcBorders>
              <w:bottom w:val="single" w:sz="4" w:space="0" w:color="000000"/>
            </w:tcBorders>
            <w:shd w:val="clear" w:color="auto" w:fill="auto"/>
          </w:tcPr>
          <w:p w14:paraId="5F6E9344" w14:textId="77777777" w:rsidR="008A388C" w:rsidRDefault="008A388C" w:rsidP="00797664">
            <w:pPr>
              <w:spacing w:before="40" w:after="120" w:line="240" w:lineRule="auto"/>
              <w:rPr>
                <w:rFonts w:ascii="Arial" w:eastAsia="Arial" w:hAnsi="Arial" w:cs="Arial"/>
                <w:b/>
                <w:i/>
                <w:color w:val="000000"/>
                <w:sz w:val="18"/>
                <w:szCs w:val="18"/>
              </w:rPr>
            </w:pPr>
            <w:r>
              <w:rPr>
                <w:rFonts w:ascii="Arial" w:eastAsia="Arial" w:hAnsi="Arial" w:cs="Arial"/>
                <w:color w:val="000000"/>
                <w:sz w:val="18"/>
                <w:szCs w:val="18"/>
              </w:rPr>
              <w:t>Turbidity</w:t>
            </w:r>
          </w:p>
        </w:tc>
      </w:tr>
      <w:tr w:rsidR="008A388C" w14:paraId="6EF8937F" w14:textId="77777777" w:rsidTr="00797664">
        <w:trPr>
          <w:trHeight w:val="320"/>
        </w:trPr>
        <w:tc>
          <w:tcPr>
            <w:tcW w:w="2317" w:type="dxa"/>
            <w:vMerge w:val="restart"/>
            <w:tcBorders>
              <w:top w:val="single" w:sz="4" w:space="0" w:color="000000"/>
            </w:tcBorders>
            <w:shd w:val="clear" w:color="auto" w:fill="auto"/>
          </w:tcPr>
          <w:p w14:paraId="1F540521" w14:textId="77777777" w:rsidR="008A388C" w:rsidRDefault="008A388C" w:rsidP="00797664">
            <w:pPr>
              <w:spacing w:before="40" w:after="120" w:line="240" w:lineRule="auto"/>
              <w:rPr>
                <w:rFonts w:ascii="Arial" w:eastAsia="Arial" w:hAnsi="Arial" w:cs="Arial"/>
                <w:b/>
                <w:i/>
                <w:color w:val="000000"/>
                <w:sz w:val="18"/>
                <w:szCs w:val="18"/>
              </w:rPr>
            </w:pPr>
            <w:r>
              <w:rPr>
                <w:rFonts w:ascii="Arial" w:eastAsia="Arial" w:hAnsi="Arial" w:cs="Arial"/>
                <w:color w:val="000000"/>
                <w:sz w:val="18"/>
                <w:szCs w:val="18"/>
              </w:rPr>
              <w:t>Dissolved Oxygen, pH and carbonate saturation state</w:t>
            </w:r>
          </w:p>
        </w:tc>
        <w:tc>
          <w:tcPr>
            <w:tcW w:w="7133" w:type="dxa"/>
            <w:tcBorders>
              <w:top w:val="single" w:sz="4" w:space="0" w:color="000000"/>
            </w:tcBorders>
            <w:shd w:val="clear" w:color="auto" w:fill="auto"/>
          </w:tcPr>
          <w:p w14:paraId="75559315" w14:textId="77777777" w:rsidR="008A388C" w:rsidRDefault="008A388C" w:rsidP="00797664">
            <w:pPr>
              <w:spacing w:before="40" w:after="120" w:line="240" w:lineRule="auto"/>
              <w:rPr>
                <w:rFonts w:ascii="Arial" w:eastAsia="Arial" w:hAnsi="Arial" w:cs="Arial"/>
                <w:b/>
                <w:i/>
                <w:color w:val="000000"/>
                <w:sz w:val="18"/>
                <w:szCs w:val="18"/>
              </w:rPr>
            </w:pPr>
            <w:r>
              <w:rPr>
                <w:rFonts w:ascii="Arial" w:eastAsia="Arial" w:hAnsi="Arial" w:cs="Arial"/>
                <w:color w:val="000000"/>
                <w:sz w:val="18"/>
                <w:szCs w:val="18"/>
              </w:rPr>
              <w:t>Dissolved Oxygen concentration, pH, carbonate saturation state</w:t>
            </w:r>
          </w:p>
        </w:tc>
      </w:tr>
      <w:tr w:rsidR="008A388C" w14:paraId="642825AD" w14:textId="77777777" w:rsidTr="00797664">
        <w:trPr>
          <w:trHeight w:val="320"/>
        </w:trPr>
        <w:tc>
          <w:tcPr>
            <w:tcW w:w="2317" w:type="dxa"/>
            <w:vMerge/>
            <w:tcBorders>
              <w:top w:val="single" w:sz="4" w:space="0" w:color="000000"/>
            </w:tcBorders>
            <w:shd w:val="clear" w:color="auto" w:fill="auto"/>
          </w:tcPr>
          <w:p w14:paraId="513F6D8A" w14:textId="77777777" w:rsidR="008A388C" w:rsidRDefault="008A388C" w:rsidP="00797664">
            <w:pPr>
              <w:widowControl w:val="0"/>
              <w:pBdr>
                <w:top w:val="nil"/>
                <w:left w:val="nil"/>
                <w:bottom w:val="nil"/>
                <w:right w:val="nil"/>
                <w:between w:val="nil"/>
              </w:pBdr>
              <w:spacing w:after="0"/>
              <w:rPr>
                <w:rFonts w:ascii="Arial" w:eastAsia="Arial" w:hAnsi="Arial" w:cs="Arial"/>
                <w:sz w:val="18"/>
                <w:szCs w:val="18"/>
              </w:rPr>
            </w:pPr>
          </w:p>
        </w:tc>
        <w:tc>
          <w:tcPr>
            <w:tcW w:w="7133" w:type="dxa"/>
            <w:shd w:val="clear" w:color="auto" w:fill="auto"/>
          </w:tcPr>
          <w:p w14:paraId="095A3176" w14:textId="77777777" w:rsidR="008A388C" w:rsidRDefault="008A388C" w:rsidP="00797664">
            <w:pPr>
              <w:spacing w:before="40" w:after="120" w:line="240" w:lineRule="auto"/>
              <w:rPr>
                <w:rFonts w:ascii="Arial" w:eastAsia="Arial" w:hAnsi="Arial" w:cs="Arial"/>
                <w:b/>
                <w:i/>
                <w:color w:val="000000"/>
                <w:sz w:val="18"/>
                <w:szCs w:val="18"/>
              </w:rPr>
            </w:pPr>
            <w:r>
              <w:rPr>
                <w:rFonts w:ascii="Arial" w:eastAsia="Arial" w:hAnsi="Arial" w:cs="Arial"/>
                <w:color w:val="000000"/>
                <w:sz w:val="18"/>
                <w:szCs w:val="18"/>
              </w:rPr>
              <w:t>DO or pH diel variability</w:t>
            </w:r>
          </w:p>
        </w:tc>
      </w:tr>
      <w:tr w:rsidR="008A388C" w14:paraId="2C067E2A" w14:textId="77777777" w:rsidTr="00797664">
        <w:trPr>
          <w:trHeight w:val="320"/>
        </w:trPr>
        <w:tc>
          <w:tcPr>
            <w:tcW w:w="2317" w:type="dxa"/>
            <w:vMerge/>
            <w:tcBorders>
              <w:top w:val="single" w:sz="4" w:space="0" w:color="000000"/>
            </w:tcBorders>
            <w:shd w:val="clear" w:color="auto" w:fill="auto"/>
          </w:tcPr>
          <w:p w14:paraId="733A4552" w14:textId="77777777" w:rsidR="008A388C" w:rsidRDefault="008A388C" w:rsidP="00797664">
            <w:pPr>
              <w:widowControl w:val="0"/>
              <w:pBdr>
                <w:top w:val="nil"/>
                <w:left w:val="nil"/>
                <w:bottom w:val="nil"/>
                <w:right w:val="nil"/>
                <w:between w:val="nil"/>
              </w:pBdr>
              <w:spacing w:after="0"/>
              <w:rPr>
                <w:rFonts w:ascii="Arial" w:eastAsia="Arial" w:hAnsi="Arial" w:cs="Arial"/>
                <w:sz w:val="18"/>
                <w:szCs w:val="18"/>
              </w:rPr>
            </w:pPr>
          </w:p>
        </w:tc>
        <w:tc>
          <w:tcPr>
            <w:tcW w:w="7133" w:type="dxa"/>
            <w:shd w:val="clear" w:color="auto" w:fill="auto"/>
          </w:tcPr>
          <w:p w14:paraId="1D825513" w14:textId="77777777" w:rsidR="008A388C" w:rsidRDefault="008A388C" w:rsidP="00797664">
            <w:pPr>
              <w:spacing w:before="40" w:after="120" w:line="240" w:lineRule="auto"/>
              <w:rPr>
                <w:rFonts w:ascii="Arial" w:eastAsia="Arial" w:hAnsi="Arial" w:cs="Arial"/>
                <w:b/>
                <w:i/>
                <w:color w:val="000000"/>
                <w:sz w:val="18"/>
                <w:szCs w:val="18"/>
              </w:rPr>
            </w:pPr>
            <w:r>
              <w:rPr>
                <w:rFonts w:ascii="Arial" w:eastAsia="Arial" w:hAnsi="Arial" w:cs="Arial"/>
                <w:color w:val="000000"/>
                <w:sz w:val="18"/>
                <w:szCs w:val="18"/>
              </w:rPr>
              <w:t>Water column biological or chemical oxygen demand</w:t>
            </w:r>
          </w:p>
        </w:tc>
      </w:tr>
      <w:tr w:rsidR="008A388C" w14:paraId="4D7A53EA" w14:textId="77777777" w:rsidTr="00797664">
        <w:trPr>
          <w:trHeight w:val="320"/>
        </w:trPr>
        <w:tc>
          <w:tcPr>
            <w:tcW w:w="2317" w:type="dxa"/>
            <w:vMerge/>
            <w:tcBorders>
              <w:top w:val="single" w:sz="4" w:space="0" w:color="000000"/>
            </w:tcBorders>
            <w:shd w:val="clear" w:color="auto" w:fill="auto"/>
          </w:tcPr>
          <w:p w14:paraId="1022D6F2" w14:textId="77777777" w:rsidR="008A388C" w:rsidRDefault="008A388C" w:rsidP="00797664">
            <w:pPr>
              <w:widowControl w:val="0"/>
              <w:pBdr>
                <w:top w:val="nil"/>
                <w:left w:val="nil"/>
                <w:bottom w:val="nil"/>
                <w:right w:val="nil"/>
                <w:between w:val="nil"/>
              </w:pBdr>
              <w:spacing w:after="0"/>
              <w:rPr>
                <w:rFonts w:ascii="Arial" w:eastAsia="Arial" w:hAnsi="Arial" w:cs="Arial"/>
                <w:sz w:val="18"/>
                <w:szCs w:val="18"/>
              </w:rPr>
            </w:pPr>
          </w:p>
        </w:tc>
        <w:tc>
          <w:tcPr>
            <w:tcW w:w="7133" w:type="dxa"/>
            <w:tcBorders>
              <w:bottom w:val="single" w:sz="4" w:space="0" w:color="000000"/>
            </w:tcBorders>
            <w:shd w:val="clear" w:color="auto" w:fill="auto"/>
          </w:tcPr>
          <w:p w14:paraId="239CB28B" w14:textId="77777777" w:rsidR="008A388C" w:rsidRDefault="008A388C" w:rsidP="00797664">
            <w:pPr>
              <w:spacing w:before="40" w:after="120" w:line="240" w:lineRule="auto"/>
              <w:rPr>
                <w:rFonts w:ascii="Arial" w:eastAsia="Arial" w:hAnsi="Arial" w:cs="Arial"/>
                <w:b/>
                <w:i/>
                <w:color w:val="000000"/>
                <w:sz w:val="18"/>
                <w:szCs w:val="18"/>
              </w:rPr>
            </w:pPr>
            <w:r>
              <w:rPr>
                <w:rFonts w:ascii="Arial" w:eastAsia="Arial" w:hAnsi="Arial" w:cs="Arial"/>
                <w:color w:val="000000"/>
                <w:sz w:val="18"/>
                <w:szCs w:val="18"/>
              </w:rPr>
              <w:t>Sediment oxygen demand</w:t>
            </w:r>
          </w:p>
        </w:tc>
      </w:tr>
      <w:tr w:rsidR="008A388C" w14:paraId="02DFA952" w14:textId="77777777" w:rsidTr="00797664">
        <w:trPr>
          <w:trHeight w:val="320"/>
        </w:trPr>
        <w:tc>
          <w:tcPr>
            <w:tcW w:w="2317" w:type="dxa"/>
            <w:vMerge w:val="restart"/>
            <w:tcBorders>
              <w:top w:val="single" w:sz="4" w:space="0" w:color="000000"/>
            </w:tcBorders>
            <w:shd w:val="clear" w:color="auto" w:fill="auto"/>
          </w:tcPr>
          <w:p w14:paraId="68F2148B" w14:textId="77777777" w:rsidR="008A388C" w:rsidRDefault="008A388C" w:rsidP="00797664">
            <w:pPr>
              <w:spacing w:before="40" w:after="120" w:line="240" w:lineRule="auto"/>
              <w:rPr>
                <w:rFonts w:ascii="Arial" w:eastAsia="Arial" w:hAnsi="Arial" w:cs="Arial"/>
                <w:b/>
                <w:i/>
                <w:color w:val="000000"/>
                <w:sz w:val="18"/>
                <w:szCs w:val="18"/>
              </w:rPr>
            </w:pPr>
            <w:r>
              <w:rPr>
                <w:rFonts w:ascii="Arial" w:eastAsia="Arial" w:hAnsi="Arial" w:cs="Arial"/>
                <w:color w:val="000000"/>
                <w:sz w:val="18"/>
                <w:szCs w:val="18"/>
              </w:rPr>
              <w:t>Benthic or Pelagic Primary production, respiration and metabolism</w:t>
            </w:r>
          </w:p>
        </w:tc>
        <w:tc>
          <w:tcPr>
            <w:tcW w:w="7133" w:type="dxa"/>
            <w:tcBorders>
              <w:top w:val="single" w:sz="4" w:space="0" w:color="000000"/>
            </w:tcBorders>
            <w:shd w:val="clear" w:color="auto" w:fill="auto"/>
          </w:tcPr>
          <w:p w14:paraId="2A0AFEDA" w14:textId="77777777" w:rsidR="008A388C" w:rsidRDefault="008A388C" w:rsidP="00797664">
            <w:pPr>
              <w:spacing w:before="40" w:after="120" w:line="240" w:lineRule="auto"/>
              <w:rPr>
                <w:rFonts w:ascii="Arial" w:eastAsia="Arial" w:hAnsi="Arial" w:cs="Arial"/>
                <w:b/>
                <w:i/>
                <w:color w:val="000000"/>
                <w:sz w:val="18"/>
                <w:szCs w:val="18"/>
              </w:rPr>
            </w:pPr>
            <w:r>
              <w:rPr>
                <w:rFonts w:ascii="Arial" w:eastAsia="Arial" w:hAnsi="Arial" w:cs="Arial"/>
                <w:color w:val="000000"/>
                <w:sz w:val="18"/>
                <w:szCs w:val="18"/>
              </w:rPr>
              <w:t>Production: respiration ratio</w:t>
            </w:r>
          </w:p>
        </w:tc>
      </w:tr>
      <w:tr w:rsidR="008A388C" w14:paraId="33715689" w14:textId="77777777" w:rsidTr="00797664">
        <w:trPr>
          <w:trHeight w:val="320"/>
        </w:trPr>
        <w:tc>
          <w:tcPr>
            <w:tcW w:w="2317" w:type="dxa"/>
            <w:vMerge/>
            <w:tcBorders>
              <w:top w:val="single" w:sz="4" w:space="0" w:color="000000"/>
            </w:tcBorders>
            <w:shd w:val="clear" w:color="auto" w:fill="auto"/>
          </w:tcPr>
          <w:p w14:paraId="596F6423" w14:textId="77777777" w:rsidR="008A388C" w:rsidRDefault="008A388C" w:rsidP="00797664">
            <w:pPr>
              <w:widowControl w:val="0"/>
              <w:pBdr>
                <w:top w:val="nil"/>
                <w:left w:val="nil"/>
                <w:bottom w:val="nil"/>
                <w:right w:val="nil"/>
                <w:between w:val="nil"/>
              </w:pBdr>
              <w:spacing w:after="0"/>
              <w:rPr>
                <w:rFonts w:ascii="Arial" w:eastAsia="Arial" w:hAnsi="Arial" w:cs="Arial"/>
                <w:sz w:val="18"/>
                <w:szCs w:val="18"/>
              </w:rPr>
            </w:pPr>
          </w:p>
        </w:tc>
        <w:tc>
          <w:tcPr>
            <w:tcW w:w="7133" w:type="dxa"/>
            <w:shd w:val="clear" w:color="auto" w:fill="auto"/>
          </w:tcPr>
          <w:p w14:paraId="21617925" w14:textId="77777777" w:rsidR="008A388C" w:rsidRDefault="008A388C" w:rsidP="00797664">
            <w:pPr>
              <w:spacing w:before="40" w:after="120" w:line="240" w:lineRule="auto"/>
              <w:rPr>
                <w:rFonts w:ascii="Arial" w:eastAsia="Arial" w:hAnsi="Arial" w:cs="Arial"/>
                <w:b/>
                <w:i/>
                <w:color w:val="000000"/>
                <w:sz w:val="18"/>
                <w:szCs w:val="18"/>
              </w:rPr>
            </w:pPr>
            <w:r>
              <w:rPr>
                <w:rFonts w:ascii="Arial" w:eastAsia="Arial" w:hAnsi="Arial" w:cs="Arial"/>
                <w:color w:val="000000"/>
                <w:sz w:val="18"/>
                <w:szCs w:val="18"/>
              </w:rPr>
              <w:t>Net primary production</w:t>
            </w:r>
          </w:p>
        </w:tc>
      </w:tr>
      <w:tr w:rsidR="008A388C" w14:paraId="0A5C94DF" w14:textId="77777777" w:rsidTr="00797664">
        <w:trPr>
          <w:trHeight w:val="300"/>
        </w:trPr>
        <w:tc>
          <w:tcPr>
            <w:tcW w:w="2317" w:type="dxa"/>
            <w:vMerge/>
            <w:tcBorders>
              <w:top w:val="single" w:sz="4" w:space="0" w:color="000000"/>
            </w:tcBorders>
            <w:shd w:val="clear" w:color="auto" w:fill="auto"/>
          </w:tcPr>
          <w:p w14:paraId="1E11944C" w14:textId="77777777" w:rsidR="008A388C" w:rsidRDefault="008A388C" w:rsidP="00797664">
            <w:pPr>
              <w:widowControl w:val="0"/>
              <w:pBdr>
                <w:top w:val="nil"/>
                <w:left w:val="nil"/>
                <w:bottom w:val="nil"/>
                <w:right w:val="nil"/>
                <w:between w:val="nil"/>
              </w:pBdr>
              <w:spacing w:after="0"/>
              <w:rPr>
                <w:rFonts w:ascii="Arial" w:eastAsia="Arial" w:hAnsi="Arial" w:cs="Arial"/>
                <w:sz w:val="18"/>
                <w:szCs w:val="18"/>
              </w:rPr>
            </w:pPr>
          </w:p>
        </w:tc>
        <w:tc>
          <w:tcPr>
            <w:tcW w:w="7133" w:type="dxa"/>
            <w:tcBorders>
              <w:bottom w:val="single" w:sz="4" w:space="0" w:color="000000"/>
            </w:tcBorders>
            <w:shd w:val="clear" w:color="auto" w:fill="auto"/>
          </w:tcPr>
          <w:p w14:paraId="2372E8E0" w14:textId="77777777" w:rsidR="008A388C" w:rsidRDefault="008A388C" w:rsidP="00797664">
            <w:pPr>
              <w:spacing w:before="40" w:after="120" w:line="240" w:lineRule="auto"/>
              <w:rPr>
                <w:rFonts w:ascii="Arial" w:eastAsia="Arial" w:hAnsi="Arial" w:cs="Arial"/>
                <w:b/>
                <w:i/>
                <w:color w:val="000000"/>
                <w:sz w:val="18"/>
                <w:szCs w:val="18"/>
              </w:rPr>
            </w:pPr>
            <w:r>
              <w:rPr>
                <w:rFonts w:ascii="Arial" w:eastAsia="Arial" w:hAnsi="Arial" w:cs="Arial"/>
                <w:color w:val="000000"/>
                <w:sz w:val="18"/>
                <w:szCs w:val="18"/>
              </w:rPr>
              <w:t>TCO2 flux</w:t>
            </w:r>
          </w:p>
        </w:tc>
      </w:tr>
      <w:tr w:rsidR="008A388C" w14:paraId="0899D18F" w14:textId="77777777" w:rsidTr="00797664">
        <w:trPr>
          <w:trHeight w:val="240"/>
        </w:trPr>
        <w:tc>
          <w:tcPr>
            <w:tcW w:w="2317" w:type="dxa"/>
            <w:vMerge w:val="restart"/>
            <w:tcBorders>
              <w:top w:val="single" w:sz="4" w:space="0" w:color="000000"/>
            </w:tcBorders>
            <w:shd w:val="clear" w:color="auto" w:fill="auto"/>
          </w:tcPr>
          <w:p w14:paraId="1CC7EB08" w14:textId="77777777" w:rsidR="008A388C" w:rsidRDefault="008A388C" w:rsidP="00797664">
            <w:pPr>
              <w:spacing w:before="40" w:after="120" w:line="240" w:lineRule="auto"/>
              <w:rPr>
                <w:rFonts w:ascii="Arial" w:eastAsia="Arial" w:hAnsi="Arial" w:cs="Arial"/>
                <w:b/>
                <w:i/>
                <w:color w:val="000000"/>
                <w:sz w:val="18"/>
                <w:szCs w:val="18"/>
              </w:rPr>
            </w:pPr>
            <w:r>
              <w:rPr>
                <w:rFonts w:ascii="Arial" w:eastAsia="Arial" w:hAnsi="Arial" w:cs="Arial"/>
                <w:color w:val="000000"/>
                <w:sz w:val="18"/>
                <w:szCs w:val="18"/>
              </w:rPr>
              <w:t>Organic Matter Accumulation and Sediment Redox Status</w:t>
            </w:r>
          </w:p>
        </w:tc>
        <w:tc>
          <w:tcPr>
            <w:tcW w:w="7133" w:type="dxa"/>
            <w:tcBorders>
              <w:top w:val="single" w:sz="4" w:space="0" w:color="000000"/>
            </w:tcBorders>
            <w:shd w:val="clear" w:color="auto" w:fill="auto"/>
          </w:tcPr>
          <w:p w14:paraId="3C905857" w14:textId="77777777" w:rsidR="008A388C" w:rsidRDefault="008A388C" w:rsidP="00797664">
            <w:pPr>
              <w:spacing w:before="40" w:after="120" w:line="240" w:lineRule="auto"/>
              <w:rPr>
                <w:rFonts w:ascii="Arial" w:eastAsia="Arial" w:hAnsi="Arial" w:cs="Arial"/>
                <w:b/>
                <w:i/>
                <w:color w:val="000000"/>
                <w:sz w:val="18"/>
                <w:szCs w:val="18"/>
              </w:rPr>
            </w:pPr>
            <w:r>
              <w:rPr>
                <w:rFonts w:ascii="Arial" w:eastAsia="Arial" w:hAnsi="Arial" w:cs="Arial"/>
                <w:color w:val="000000"/>
                <w:sz w:val="18"/>
                <w:szCs w:val="18"/>
              </w:rPr>
              <w:t xml:space="preserve">Sediment or benthic %OC, %N, and %P </w:t>
            </w:r>
          </w:p>
        </w:tc>
      </w:tr>
      <w:tr w:rsidR="008A388C" w14:paraId="383C3A10" w14:textId="77777777" w:rsidTr="00797664">
        <w:trPr>
          <w:trHeight w:val="180"/>
        </w:trPr>
        <w:tc>
          <w:tcPr>
            <w:tcW w:w="2317" w:type="dxa"/>
            <w:vMerge/>
            <w:tcBorders>
              <w:top w:val="single" w:sz="4" w:space="0" w:color="000000"/>
            </w:tcBorders>
            <w:shd w:val="clear" w:color="auto" w:fill="auto"/>
          </w:tcPr>
          <w:p w14:paraId="10090729" w14:textId="77777777" w:rsidR="008A388C" w:rsidRDefault="008A388C" w:rsidP="00797664">
            <w:pPr>
              <w:widowControl w:val="0"/>
              <w:pBdr>
                <w:top w:val="nil"/>
                <w:left w:val="nil"/>
                <w:bottom w:val="nil"/>
                <w:right w:val="nil"/>
                <w:between w:val="nil"/>
              </w:pBdr>
              <w:spacing w:after="0"/>
              <w:rPr>
                <w:rFonts w:ascii="Arial" w:eastAsia="Arial" w:hAnsi="Arial" w:cs="Arial"/>
                <w:sz w:val="18"/>
                <w:szCs w:val="18"/>
              </w:rPr>
            </w:pPr>
          </w:p>
        </w:tc>
        <w:tc>
          <w:tcPr>
            <w:tcW w:w="7133" w:type="dxa"/>
            <w:shd w:val="clear" w:color="auto" w:fill="auto"/>
          </w:tcPr>
          <w:p w14:paraId="456469D0" w14:textId="77777777" w:rsidR="008A388C" w:rsidRDefault="008A388C" w:rsidP="00797664">
            <w:pPr>
              <w:spacing w:before="40" w:after="120" w:line="240" w:lineRule="auto"/>
              <w:rPr>
                <w:rFonts w:ascii="Arial" w:eastAsia="Arial" w:hAnsi="Arial" w:cs="Arial"/>
                <w:b/>
                <w:i/>
                <w:color w:val="000000"/>
                <w:sz w:val="18"/>
                <w:szCs w:val="18"/>
              </w:rPr>
            </w:pPr>
            <w:r>
              <w:rPr>
                <w:rFonts w:ascii="Arial" w:eastAsia="Arial" w:hAnsi="Arial" w:cs="Arial"/>
                <w:color w:val="000000"/>
                <w:sz w:val="18"/>
                <w:szCs w:val="18"/>
              </w:rPr>
              <w:t>Sediment or benthic  C:N: P ratio</w:t>
            </w:r>
          </w:p>
        </w:tc>
      </w:tr>
      <w:tr w:rsidR="008A388C" w14:paraId="68AD0223" w14:textId="77777777" w:rsidTr="00797664">
        <w:trPr>
          <w:trHeight w:val="260"/>
        </w:trPr>
        <w:tc>
          <w:tcPr>
            <w:tcW w:w="2317" w:type="dxa"/>
            <w:vMerge/>
            <w:tcBorders>
              <w:top w:val="single" w:sz="4" w:space="0" w:color="000000"/>
            </w:tcBorders>
            <w:shd w:val="clear" w:color="auto" w:fill="auto"/>
          </w:tcPr>
          <w:p w14:paraId="798C480F" w14:textId="77777777" w:rsidR="008A388C" w:rsidRDefault="008A388C" w:rsidP="00797664">
            <w:pPr>
              <w:widowControl w:val="0"/>
              <w:pBdr>
                <w:top w:val="nil"/>
                <w:left w:val="nil"/>
                <w:bottom w:val="nil"/>
                <w:right w:val="nil"/>
                <w:between w:val="nil"/>
              </w:pBdr>
              <w:spacing w:after="0"/>
              <w:rPr>
                <w:rFonts w:ascii="Arial" w:eastAsia="Arial" w:hAnsi="Arial" w:cs="Arial"/>
                <w:sz w:val="18"/>
                <w:szCs w:val="18"/>
              </w:rPr>
            </w:pPr>
          </w:p>
        </w:tc>
        <w:tc>
          <w:tcPr>
            <w:tcW w:w="7133" w:type="dxa"/>
            <w:tcBorders>
              <w:bottom w:val="single" w:sz="4" w:space="0" w:color="000000"/>
            </w:tcBorders>
            <w:shd w:val="clear" w:color="auto" w:fill="auto"/>
          </w:tcPr>
          <w:p w14:paraId="15B555E5" w14:textId="77777777" w:rsidR="008A388C" w:rsidRDefault="008A388C" w:rsidP="00797664">
            <w:pPr>
              <w:spacing w:before="40" w:after="120" w:line="240" w:lineRule="auto"/>
              <w:rPr>
                <w:rFonts w:ascii="Arial" w:eastAsia="Arial" w:hAnsi="Arial" w:cs="Arial"/>
                <w:b/>
                <w:i/>
                <w:color w:val="000000"/>
                <w:sz w:val="18"/>
                <w:szCs w:val="18"/>
              </w:rPr>
            </w:pPr>
            <w:r>
              <w:rPr>
                <w:rFonts w:ascii="Arial" w:eastAsia="Arial" w:hAnsi="Arial" w:cs="Arial"/>
                <w:color w:val="000000"/>
                <w:sz w:val="18"/>
                <w:szCs w:val="18"/>
              </w:rPr>
              <w:t>Sediment or benthic TOC:TS and degree of pyritization</w:t>
            </w:r>
          </w:p>
        </w:tc>
      </w:tr>
      <w:tr w:rsidR="008A388C" w14:paraId="2A335CFE" w14:textId="77777777" w:rsidTr="00797664">
        <w:trPr>
          <w:trHeight w:val="240"/>
        </w:trPr>
        <w:tc>
          <w:tcPr>
            <w:tcW w:w="2317" w:type="dxa"/>
            <w:tcBorders>
              <w:top w:val="single" w:sz="4" w:space="0" w:color="000000"/>
              <w:bottom w:val="single" w:sz="4" w:space="0" w:color="000000"/>
            </w:tcBorders>
            <w:shd w:val="clear" w:color="auto" w:fill="auto"/>
          </w:tcPr>
          <w:p w14:paraId="5037F1A6" w14:textId="77777777" w:rsidR="008A388C" w:rsidRDefault="008A388C" w:rsidP="00797664">
            <w:pPr>
              <w:spacing w:before="40" w:after="120" w:line="240" w:lineRule="auto"/>
              <w:rPr>
                <w:rFonts w:ascii="Arial" w:eastAsia="Arial" w:hAnsi="Arial" w:cs="Arial"/>
                <w:b/>
                <w:i/>
                <w:color w:val="000000"/>
                <w:sz w:val="18"/>
                <w:szCs w:val="18"/>
              </w:rPr>
            </w:pPr>
            <w:r>
              <w:rPr>
                <w:rFonts w:ascii="Arial" w:eastAsia="Arial" w:hAnsi="Arial" w:cs="Arial"/>
                <w:color w:val="000000"/>
                <w:sz w:val="18"/>
                <w:szCs w:val="18"/>
              </w:rPr>
              <w:t>Nitrogen Cycling</w:t>
            </w:r>
          </w:p>
        </w:tc>
        <w:tc>
          <w:tcPr>
            <w:tcW w:w="7133" w:type="dxa"/>
            <w:tcBorders>
              <w:top w:val="single" w:sz="4" w:space="0" w:color="000000"/>
              <w:bottom w:val="single" w:sz="4" w:space="0" w:color="000000"/>
            </w:tcBorders>
            <w:shd w:val="clear" w:color="auto" w:fill="auto"/>
          </w:tcPr>
          <w:p w14:paraId="0D3E4D97" w14:textId="77777777" w:rsidR="008A388C" w:rsidRDefault="008A388C" w:rsidP="00797664">
            <w:pPr>
              <w:spacing w:before="40" w:after="120" w:line="240" w:lineRule="auto"/>
              <w:rPr>
                <w:rFonts w:ascii="Arial" w:eastAsia="Arial" w:hAnsi="Arial" w:cs="Arial"/>
                <w:b/>
                <w:i/>
                <w:color w:val="000000"/>
                <w:sz w:val="18"/>
                <w:szCs w:val="18"/>
              </w:rPr>
            </w:pPr>
            <w:r>
              <w:rPr>
                <w:rFonts w:ascii="Arial" w:eastAsia="Arial" w:hAnsi="Arial" w:cs="Arial"/>
                <w:color w:val="000000"/>
                <w:sz w:val="18"/>
                <w:szCs w:val="18"/>
              </w:rPr>
              <w:t>Denitrification rate</w:t>
            </w:r>
          </w:p>
        </w:tc>
      </w:tr>
      <w:tr w:rsidR="008A388C" w14:paraId="27F4A0A4" w14:textId="77777777" w:rsidTr="00797664">
        <w:trPr>
          <w:trHeight w:val="240"/>
        </w:trPr>
        <w:tc>
          <w:tcPr>
            <w:tcW w:w="2317" w:type="dxa"/>
            <w:vMerge w:val="restart"/>
            <w:tcBorders>
              <w:top w:val="single" w:sz="4" w:space="0" w:color="000000"/>
            </w:tcBorders>
            <w:shd w:val="clear" w:color="auto" w:fill="auto"/>
          </w:tcPr>
          <w:p w14:paraId="0F834C86" w14:textId="77777777" w:rsidR="008A388C" w:rsidRDefault="008A388C" w:rsidP="00797664">
            <w:pPr>
              <w:spacing w:before="40" w:after="120" w:line="240" w:lineRule="auto"/>
              <w:rPr>
                <w:rFonts w:ascii="Arial" w:eastAsia="Arial" w:hAnsi="Arial" w:cs="Arial"/>
                <w:b/>
                <w:i/>
                <w:color w:val="000000"/>
                <w:sz w:val="18"/>
                <w:szCs w:val="18"/>
              </w:rPr>
            </w:pPr>
            <w:r>
              <w:rPr>
                <w:rFonts w:ascii="Arial" w:eastAsia="Arial" w:hAnsi="Arial" w:cs="Arial"/>
                <w:color w:val="000000"/>
                <w:sz w:val="18"/>
                <w:szCs w:val="18"/>
              </w:rPr>
              <w:t>Harmful Algal Bloom Toxins</w:t>
            </w:r>
          </w:p>
        </w:tc>
        <w:tc>
          <w:tcPr>
            <w:tcW w:w="7133" w:type="dxa"/>
            <w:tcBorders>
              <w:top w:val="single" w:sz="4" w:space="0" w:color="000000"/>
            </w:tcBorders>
            <w:shd w:val="clear" w:color="auto" w:fill="auto"/>
          </w:tcPr>
          <w:p w14:paraId="3B1B78C3" w14:textId="77777777" w:rsidR="008A388C" w:rsidRDefault="008A388C" w:rsidP="00797664">
            <w:pPr>
              <w:spacing w:before="40" w:after="120" w:line="240" w:lineRule="auto"/>
              <w:rPr>
                <w:rFonts w:ascii="Arial" w:eastAsia="Arial" w:hAnsi="Arial" w:cs="Arial"/>
                <w:b/>
                <w:i/>
                <w:color w:val="000000"/>
                <w:sz w:val="18"/>
                <w:szCs w:val="18"/>
              </w:rPr>
            </w:pPr>
            <w:r>
              <w:rPr>
                <w:rFonts w:ascii="Arial" w:eastAsia="Arial" w:hAnsi="Arial" w:cs="Arial"/>
                <w:color w:val="000000"/>
                <w:sz w:val="18"/>
                <w:szCs w:val="18"/>
              </w:rPr>
              <w:t>Benthic or planktonic toxin concentrations</w:t>
            </w:r>
          </w:p>
        </w:tc>
      </w:tr>
      <w:tr w:rsidR="008A388C" w14:paraId="5EC485E7" w14:textId="77777777" w:rsidTr="00797664">
        <w:trPr>
          <w:trHeight w:val="240"/>
        </w:trPr>
        <w:tc>
          <w:tcPr>
            <w:tcW w:w="2317" w:type="dxa"/>
            <w:vMerge/>
            <w:tcBorders>
              <w:top w:val="single" w:sz="4" w:space="0" w:color="000000"/>
            </w:tcBorders>
            <w:shd w:val="clear" w:color="auto" w:fill="auto"/>
          </w:tcPr>
          <w:p w14:paraId="6EC37836" w14:textId="77777777" w:rsidR="008A388C" w:rsidRDefault="008A388C" w:rsidP="00797664">
            <w:pPr>
              <w:widowControl w:val="0"/>
              <w:pBdr>
                <w:top w:val="nil"/>
                <w:left w:val="nil"/>
                <w:bottom w:val="nil"/>
                <w:right w:val="nil"/>
                <w:between w:val="nil"/>
              </w:pBdr>
              <w:spacing w:after="0"/>
              <w:rPr>
                <w:rFonts w:ascii="Arial" w:eastAsia="Arial" w:hAnsi="Arial" w:cs="Arial"/>
                <w:sz w:val="18"/>
                <w:szCs w:val="18"/>
              </w:rPr>
            </w:pPr>
          </w:p>
        </w:tc>
        <w:tc>
          <w:tcPr>
            <w:tcW w:w="7133" w:type="dxa"/>
            <w:shd w:val="clear" w:color="auto" w:fill="auto"/>
          </w:tcPr>
          <w:p w14:paraId="5BE79824" w14:textId="77777777" w:rsidR="008A388C" w:rsidRDefault="008A388C" w:rsidP="00797664">
            <w:pPr>
              <w:spacing w:before="40" w:after="120" w:line="240" w:lineRule="auto"/>
              <w:rPr>
                <w:rFonts w:ascii="Arial" w:eastAsia="Arial" w:hAnsi="Arial" w:cs="Arial"/>
                <w:b/>
                <w:i/>
                <w:color w:val="000000"/>
                <w:sz w:val="18"/>
                <w:szCs w:val="18"/>
              </w:rPr>
            </w:pPr>
            <w:r>
              <w:rPr>
                <w:rFonts w:ascii="Arial" w:eastAsia="Arial" w:hAnsi="Arial" w:cs="Arial"/>
                <w:color w:val="000000"/>
                <w:sz w:val="18"/>
                <w:szCs w:val="18"/>
              </w:rPr>
              <w:t>Tissue toxin concentrations</w:t>
            </w:r>
          </w:p>
        </w:tc>
      </w:tr>
      <w:tr w:rsidR="008A388C" w14:paraId="483ACEBE" w14:textId="77777777" w:rsidTr="00797664">
        <w:trPr>
          <w:trHeight w:val="240"/>
        </w:trPr>
        <w:tc>
          <w:tcPr>
            <w:tcW w:w="2317" w:type="dxa"/>
            <w:vMerge/>
            <w:tcBorders>
              <w:top w:val="single" w:sz="4" w:space="0" w:color="000000"/>
            </w:tcBorders>
            <w:shd w:val="clear" w:color="auto" w:fill="auto"/>
          </w:tcPr>
          <w:p w14:paraId="3451CD2E" w14:textId="77777777" w:rsidR="008A388C" w:rsidRDefault="008A388C" w:rsidP="00797664">
            <w:pPr>
              <w:widowControl w:val="0"/>
              <w:pBdr>
                <w:top w:val="nil"/>
                <w:left w:val="nil"/>
                <w:bottom w:val="nil"/>
                <w:right w:val="nil"/>
                <w:between w:val="nil"/>
              </w:pBdr>
              <w:spacing w:after="0"/>
              <w:rPr>
                <w:rFonts w:ascii="Arial" w:eastAsia="Arial" w:hAnsi="Arial" w:cs="Arial"/>
                <w:sz w:val="18"/>
                <w:szCs w:val="18"/>
              </w:rPr>
            </w:pPr>
          </w:p>
        </w:tc>
        <w:tc>
          <w:tcPr>
            <w:tcW w:w="7133" w:type="dxa"/>
            <w:tcBorders>
              <w:bottom w:val="single" w:sz="4" w:space="0" w:color="000000"/>
            </w:tcBorders>
            <w:shd w:val="clear" w:color="auto" w:fill="auto"/>
          </w:tcPr>
          <w:p w14:paraId="41392485" w14:textId="77777777" w:rsidR="008A388C" w:rsidRDefault="008A388C" w:rsidP="00797664">
            <w:pPr>
              <w:spacing w:before="40" w:after="120" w:line="240" w:lineRule="auto"/>
              <w:rPr>
                <w:rFonts w:ascii="Arial" w:eastAsia="Arial" w:hAnsi="Arial" w:cs="Arial"/>
                <w:b/>
                <w:i/>
                <w:color w:val="000000"/>
                <w:sz w:val="18"/>
                <w:szCs w:val="18"/>
              </w:rPr>
            </w:pPr>
            <w:r>
              <w:rPr>
                <w:rFonts w:ascii="Arial" w:eastAsia="Arial" w:hAnsi="Arial" w:cs="Arial"/>
                <w:color w:val="000000"/>
                <w:sz w:val="18"/>
                <w:szCs w:val="18"/>
              </w:rPr>
              <w:t>Solid phase absorption and tracking (SPATT) for dissolved toxins</w:t>
            </w:r>
          </w:p>
        </w:tc>
      </w:tr>
      <w:tr w:rsidR="008A388C" w14:paraId="41EEB416" w14:textId="77777777" w:rsidTr="00797664">
        <w:trPr>
          <w:trHeight w:val="240"/>
        </w:trPr>
        <w:tc>
          <w:tcPr>
            <w:tcW w:w="2317" w:type="dxa"/>
            <w:vMerge w:val="restart"/>
            <w:tcBorders>
              <w:top w:val="single" w:sz="4" w:space="0" w:color="000000"/>
            </w:tcBorders>
            <w:shd w:val="clear" w:color="auto" w:fill="auto"/>
          </w:tcPr>
          <w:p w14:paraId="131A335B" w14:textId="77777777" w:rsidR="008A388C" w:rsidRDefault="008A388C" w:rsidP="00797664">
            <w:pPr>
              <w:spacing w:before="40" w:after="120" w:line="240" w:lineRule="auto"/>
              <w:rPr>
                <w:rFonts w:ascii="Arial" w:eastAsia="Arial" w:hAnsi="Arial" w:cs="Arial"/>
                <w:b/>
                <w:i/>
                <w:color w:val="000000"/>
                <w:sz w:val="18"/>
                <w:szCs w:val="18"/>
              </w:rPr>
            </w:pPr>
            <w:r>
              <w:rPr>
                <w:rFonts w:ascii="Arial" w:eastAsia="Arial" w:hAnsi="Arial" w:cs="Arial"/>
                <w:color w:val="000000"/>
                <w:sz w:val="18"/>
                <w:szCs w:val="18"/>
              </w:rPr>
              <w:t xml:space="preserve">Dissolved organic carbon </w:t>
            </w:r>
          </w:p>
        </w:tc>
        <w:tc>
          <w:tcPr>
            <w:tcW w:w="7133" w:type="dxa"/>
            <w:tcBorders>
              <w:top w:val="single" w:sz="4" w:space="0" w:color="000000"/>
            </w:tcBorders>
            <w:shd w:val="clear" w:color="auto" w:fill="auto"/>
          </w:tcPr>
          <w:p w14:paraId="6F30E5D9" w14:textId="77777777" w:rsidR="008A388C" w:rsidRDefault="008A388C" w:rsidP="00797664">
            <w:pPr>
              <w:spacing w:before="40" w:after="120" w:line="240" w:lineRule="auto"/>
              <w:rPr>
                <w:rFonts w:ascii="Arial" w:eastAsia="Arial" w:hAnsi="Arial" w:cs="Arial"/>
                <w:b/>
                <w:i/>
                <w:color w:val="000000"/>
                <w:sz w:val="18"/>
                <w:szCs w:val="18"/>
              </w:rPr>
            </w:pPr>
            <w:r>
              <w:rPr>
                <w:rFonts w:ascii="Arial" w:eastAsia="Arial" w:hAnsi="Arial" w:cs="Arial"/>
                <w:color w:val="000000"/>
                <w:sz w:val="18"/>
                <w:szCs w:val="18"/>
              </w:rPr>
              <w:t>Dissolved organic carbon</w:t>
            </w:r>
          </w:p>
        </w:tc>
      </w:tr>
      <w:tr w:rsidR="008A388C" w14:paraId="2BFF1665" w14:textId="77777777" w:rsidTr="00797664">
        <w:trPr>
          <w:trHeight w:val="240"/>
        </w:trPr>
        <w:tc>
          <w:tcPr>
            <w:tcW w:w="2317" w:type="dxa"/>
            <w:vMerge/>
            <w:tcBorders>
              <w:top w:val="single" w:sz="4" w:space="0" w:color="000000"/>
            </w:tcBorders>
            <w:shd w:val="clear" w:color="auto" w:fill="auto"/>
          </w:tcPr>
          <w:p w14:paraId="7D7F8C60" w14:textId="77777777" w:rsidR="008A388C" w:rsidRDefault="008A388C" w:rsidP="00797664">
            <w:pPr>
              <w:widowControl w:val="0"/>
              <w:pBdr>
                <w:top w:val="nil"/>
                <w:left w:val="nil"/>
                <w:bottom w:val="nil"/>
                <w:right w:val="nil"/>
                <w:between w:val="nil"/>
              </w:pBdr>
              <w:spacing w:after="0"/>
              <w:rPr>
                <w:rFonts w:ascii="Arial" w:eastAsia="Arial" w:hAnsi="Arial" w:cs="Arial"/>
                <w:sz w:val="18"/>
                <w:szCs w:val="18"/>
              </w:rPr>
            </w:pPr>
          </w:p>
        </w:tc>
        <w:tc>
          <w:tcPr>
            <w:tcW w:w="7133" w:type="dxa"/>
            <w:shd w:val="clear" w:color="auto" w:fill="auto"/>
          </w:tcPr>
          <w:p w14:paraId="21393DA8" w14:textId="77777777" w:rsidR="008A388C" w:rsidRDefault="008A388C" w:rsidP="00797664">
            <w:pPr>
              <w:spacing w:before="40" w:after="120" w:line="240" w:lineRule="auto"/>
              <w:rPr>
                <w:rFonts w:ascii="Arial" w:eastAsia="Arial" w:hAnsi="Arial" w:cs="Arial"/>
                <w:b/>
                <w:i/>
                <w:color w:val="000000"/>
                <w:sz w:val="18"/>
                <w:szCs w:val="18"/>
              </w:rPr>
            </w:pPr>
            <w:r>
              <w:rPr>
                <w:rFonts w:ascii="Arial" w:eastAsia="Arial" w:hAnsi="Arial" w:cs="Arial"/>
                <w:color w:val="000000"/>
                <w:sz w:val="18"/>
                <w:szCs w:val="18"/>
              </w:rPr>
              <w:t>Trihalomethanes</w:t>
            </w:r>
          </w:p>
        </w:tc>
      </w:tr>
    </w:tbl>
    <w:p w14:paraId="740AFBA7" w14:textId="77777777" w:rsidR="008A388C" w:rsidRDefault="008A388C" w:rsidP="008A388C"/>
    <w:p w14:paraId="64652323" w14:textId="77777777" w:rsidR="008A388C" w:rsidRDefault="008A388C" w:rsidP="008A388C">
      <w:pPr>
        <w:pStyle w:val="Heading3"/>
      </w:pPr>
      <w:bookmarkStart w:id="76" w:name="_Toc525589898"/>
      <w:bookmarkStart w:id="77" w:name="_Toc525595050"/>
      <w:bookmarkStart w:id="78" w:name="_Toc526196686"/>
      <w:r>
        <w:t>2.3.3</w:t>
      </w:r>
      <w:r>
        <w:tab/>
        <w:t>Altered Community Composition of Secondary and Tertiary Consumers</w:t>
      </w:r>
      <w:bookmarkEnd w:id="76"/>
      <w:bookmarkEnd w:id="77"/>
      <w:bookmarkEnd w:id="78"/>
      <w:r>
        <w:t xml:space="preserve"> </w:t>
      </w:r>
    </w:p>
    <w:p w14:paraId="1701DE18" w14:textId="77777777" w:rsidR="008A388C" w:rsidRDefault="008A388C" w:rsidP="008A388C">
      <w:pPr>
        <w:ind w:firstLine="720"/>
        <w:jc w:val="both"/>
      </w:pPr>
      <w:r>
        <w:t xml:space="preserve">Poor habitat quality and altered abundance of primary producers causes shifts in the secondary consumers (benthic infaunal, epifauna and pelagic invertebrates) that are directly impacted by alterations in primary producer community structure and degradation in water and sediment chemistry. Higher level consumers, such as fish, birds, mammals, and other invertebrates that prey upon these secondary consumers (referred to here as tertiary consumers), experience reduced food availability and quality, reduce reproductive success, increased stress and disease, and increased mortality. </w:t>
      </w:r>
    </w:p>
    <w:p w14:paraId="3DB1F32B" w14:textId="6FD97867" w:rsidR="008A388C" w:rsidRDefault="008A388C" w:rsidP="008A388C">
      <w:pPr>
        <w:ind w:firstLine="720"/>
        <w:jc w:val="both"/>
      </w:pPr>
      <w:r>
        <w:t>Because invertebrates that live in or on sediments are exposed to environmental stressors on an ongoing basis, the benthic community composition often provides a good indicator of impacts to aquatic life. The State of California has developed benthic macroinvertebrate indices of condition that are indicative of aquatic life related beneficial use support</w:t>
      </w:r>
      <w:bookmarkStart w:id="79" w:name="_Hlk526134441"/>
      <w:r>
        <w:t xml:space="preserve">. This includes the California Stream Condition Index (CSCI; </w:t>
      </w:r>
      <w:r w:rsidRPr="00BB2999">
        <w:t>Ma</w:t>
      </w:r>
      <w:r w:rsidR="002C46EB" w:rsidRPr="00BB2999">
        <w:t>z</w:t>
      </w:r>
      <w:r w:rsidRPr="00BB2999">
        <w:t>or et al. 2016</w:t>
      </w:r>
      <w:r>
        <w:t xml:space="preserve">) and, for bays </w:t>
      </w:r>
      <w:r w:rsidRPr="00FC3867">
        <w:t xml:space="preserve">and estuaries, the benthic response index </w:t>
      </w:r>
      <w:r w:rsidR="00FC3867" w:rsidRPr="00FC3867">
        <w:t>(BRI; Ranashinghe et</w:t>
      </w:r>
      <w:r w:rsidR="00352C27">
        <w:t xml:space="preserve"> al.</w:t>
      </w:r>
      <w:r w:rsidR="00FC3867" w:rsidRPr="00FC3867">
        <w:t xml:space="preserve"> 2012</w:t>
      </w:r>
      <w:r w:rsidRPr="00FC3867">
        <w:t>) or ambient macroinvertebrate response index (</w:t>
      </w:r>
      <w:r w:rsidR="00FC3867" w:rsidRPr="00FC3867">
        <w:t>AMBI; Gillett et al. 2015</w:t>
      </w:r>
      <w:r w:rsidRPr="00FC3867">
        <w:t>) for salinities of 18 ppt or greater. These indices provide a simple means for</w:t>
      </w:r>
      <w:r>
        <w:t xml:space="preserve"> communicating complex ecological data to environmental managers. While secondary and tertiary consumers are closely linked to ecosystem services and beneficial uses (Figure 2</w:t>
      </w:r>
      <w:r w:rsidR="000C0514">
        <w:t>.1</w:t>
      </w:r>
      <w:r>
        <w:t>), use of these organisms as diagnostic indicators for eutrophication is caveated because organism and population measures of health are impacted by a variety of different stressors in a complex environment which is not easy to model</w:t>
      </w:r>
      <w:bookmarkEnd w:id="79"/>
      <w:r>
        <w:t xml:space="preserve">. </w:t>
      </w:r>
    </w:p>
    <w:p w14:paraId="6ECA9827" w14:textId="77777777" w:rsidR="008A388C" w:rsidRDefault="008A388C" w:rsidP="008A388C">
      <w:pPr>
        <w:pStyle w:val="Heading3"/>
      </w:pPr>
      <w:bookmarkStart w:id="80" w:name="_Toc525589899"/>
      <w:bookmarkStart w:id="81" w:name="_Toc525595051"/>
      <w:bookmarkStart w:id="82" w:name="_Toc526196687"/>
      <w:r>
        <w:t>2.3.4 Impacts to Food Water Resources and Recreational Uses</w:t>
      </w:r>
      <w:bookmarkEnd w:id="80"/>
      <w:bookmarkEnd w:id="81"/>
      <w:bookmarkEnd w:id="82"/>
    </w:p>
    <w:p w14:paraId="6D3C00B5" w14:textId="2D4B5CA6" w:rsidR="008A388C" w:rsidRDefault="008A388C" w:rsidP="008A388C">
      <w:pPr>
        <w:ind w:firstLine="720"/>
      </w:pPr>
      <w:bookmarkStart w:id="83" w:name="_1pxezwc" w:colFirst="0" w:colLast="0"/>
      <w:bookmarkEnd w:id="83"/>
      <w:r>
        <w:t>Eutrophication is responsible for direct impacts to human water resources and recreational uses. Several distinct pathways exist through which these impacts can occur (</w:t>
      </w:r>
      <w:r w:rsidRPr="00BB2999">
        <w:t>Nixon 1995, Paerl et al. 2011</w:t>
      </w:r>
      <w:r>
        <w:t>). First, human uses are impacted by poor aesthetics that result from visual scums, high biomass blooms, and odor that can result from decaying algal or bacterial biomass.  Second, recreational and commercial uses occur from the reduced abundance and biodiversity of aquatic and terrestrial wildlife (e.g.</w:t>
      </w:r>
      <w:r w:rsidR="00352C27">
        <w:t>,</w:t>
      </w:r>
      <w:r>
        <w:t xml:space="preserve"> salmonids, crabs, bivalves, et al. sportsfish) and from harmful algal blooms. Third, primary contact recreation is directly impacted through the exposure of harmful algal blooms toxins from swimming, fishing, boating (including via aerosolized pathways). Fourth, reduced quality of drinking water sources occurs from high HAB toxins, DOC, trihalomethanes, which poses significant costs to water purveyors to remove to assure safe drinking water for the public. Finally, eutrophication can </w:t>
      </w:r>
      <w:r w:rsidR="00352C27">
        <w:t>impede</w:t>
      </w:r>
      <w:r>
        <w:t xml:space="preserve"> navigation and </w:t>
      </w:r>
      <w:r w:rsidR="00352C27">
        <w:t xml:space="preserve">cause </w:t>
      </w:r>
      <w:r>
        <w:t xml:space="preserve">problems for municipal or industrial water intakes because of high biomass algal blooms and aquatic vegetation. </w:t>
      </w:r>
    </w:p>
    <w:p w14:paraId="187796B6" w14:textId="3EDD7D96" w:rsidR="00C34E7F" w:rsidRDefault="00C34E7F" w:rsidP="008A388C">
      <w:pPr>
        <w:ind w:firstLine="720"/>
      </w:pPr>
    </w:p>
    <w:p w14:paraId="5227C98B" w14:textId="5B6BC278" w:rsidR="00C34E7F" w:rsidRDefault="00C34E7F" w:rsidP="008A388C">
      <w:pPr>
        <w:ind w:firstLine="720"/>
      </w:pPr>
    </w:p>
    <w:p w14:paraId="501061CA" w14:textId="1F846750" w:rsidR="00C34E7F" w:rsidRDefault="00C34E7F" w:rsidP="008A388C">
      <w:pPr>
        <w:ind w:firstLine="720"/>
      </w:pPr>
    </w:p>
    <w:p w14:paraId="357C353D" w14:textId="77777777" w:rsidR="00C34E7F" w:rsidRDefault="00C34E7F" w:rsidP="008A388C">
      <w:pPr>
        <w:ind w:firstLine="720"/>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00"/>
        <w:gridCol w:w="3098"/>
        <w:gridCol w:w="3162"/>
      </w:tblGrid>
      <w:tr w:rsidR="00C34E7F" w14:paraId="0D53AA0F" w14:textId="77777777" w:rsidTr="00CF34B9">
        <w:trPr>
          <w:trHeight w:val="3024"/>
        </w:trPr>
        <w:tc>
          <w:tcPr>
            <w:tcW w:w="3115" w:type="dxa"/>
          </w:tcPr>
          <w:p w14:paraId="631BF641" w14:textId="77777777" w:rsidR="00C34E7F" w:rsidRDefault="00C34E7F" w:rsidP="007245F5">
            <w:r w:rsidRPr="00404AB1">
              <w:rPr>
                <w:noProof/>
                <w:lang w:eastAsia="zh-CN" w:bidi="ar-SA"/>
              </w:rPr>
              <w:drawing>
                <wp:inline distT="0" distB="0" distL="0" distR="0" wp14:anchorId="7C60B70D" wp14:editId="255B70D9">
                  <wp:extent cx="2284393" cy="1828800"/>
                  <wp:effectExtent l="0" t="0" r="0" b="0"/>
                  <wp:docPr id="26" name="Picture 6">
                    <a:extLst xmlns:a="http://schemas.openxmlformats.org/drawingml/2006/main">
                      <a:ext uri="{FF2B5EF4-FFF2-40B4-BE49-F238E27FC236}">
                        <a16:creationId xmlns:a16="http://schemas.microsoft.com/office/drawing/2014/main" id="{917CCA05-89A8-4C6E-A402-297195D46CE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917CCA05-89A8-4C6E-A402-297195D46CE7}"/>
                              </a:ext>
                            </a:extLst>
                          </pic:cNvPr>
                          <pic:cNvPicPr>
                            <a:picLocks noChangeAspect="1"/>
                          </pic:cNvPicPr>
                        </pic:nvPicPr>
                        <pic:blipFill rotWithShape="1">
                          <a:blip r:embed="rId39" cstate="print">
                            <a:extLst>
                              <a:ext uri="{28A0092B-C50C-407E-A947-70E740481C1C}">
                                <a14:useLocalDpi xmlns:a14="http://schemas.microsoft.com/office/drawing/2010/main" val="0"/>
                              </a:ext>
                            </a:extLst>
                          </a:blip>
                          <a:srcRect l="7095" r="-3606"/>
                          <a:stretch/>
                        </pic:blipFill>
                        <pic:spPr>
                          <a:xfrm>
                            <a:off x="0" y="0"/>
                            <a:ext cx="2284393" cy="1828800"/>
                          </a:xfrm>
                          <a:prstGeom prst="rect">
                            <a:avLst/>
                          </a:prstGeom>
                        </pic:spPr>
                      </pic:pic>
                    </a:graphicData>
                  </a:graphic>
                </wp:inline>
              </w:drawing>
            </w:r>
          </w:p>
        </w:tc>
        <w:tc>
          <w:tcPr>
            <w:tcW w:w="3115" w:type="dxa"/>
          </w:tcPr>
          <w:p w14:paraId="42C307E3" w14:textId="77777777" w:rsidR="00C34E7F" w:rsidRDefault="00C34E7F" w:rsidP="007245F5">
            <w:r w:rsidRPr="00404AB1">
              <w:rPr>
                <w:noProof/>
                <w:lang w:eastAsia="zh-CN" w:bidi="ar-SA"/>
              </w:rPr>
              <w:drawing>
                <wp:inline distT="0" distB="0" distL="0" distR="0" wp14:anchorId="400509E0" wp14:editId="1C58B670">
                  <wp:extent cx="2284392" cy="1828800"/>
                  <wp:effectExtent l="0" t="0" r="0" b="0"/>
                  <wp:docPr id="27" name="Picture 17">
                    <a:extLst xmlns:a="http://schemas.openxmlformats.org/drawingml/2006/main">
                      <a:ext uri="{FF2B5EF4-FFF2-40B4-BE49-F238E27FC236}">
                        <a16:creationId xmlns:a16="http://schemas.microsoft.com/office/drawing/2014/main" id="{1F991C3A-78ED-4D7D-BC8F-3DA4668C885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7">
                            <a:extLst>
                              <a:ext uri="{FF2B5EF4-FFF2-40B4-BE49-F238E27FC236}">
                                <a16:creationId xmlns:a16="http://schemas.microsoft.com/office/drawing/2014/main" id="{1F991C3A-78ED-4D7D-BC8F-3DA4668C885A}"/>
                              </a:ext>
                            </a:extLst>
                          </pic:cNvPr>
                          <pic:cNvPicPr>
                            <a:picLocks noChangeAspect="1"/>
                          </pic:cNvPicPr>
                        </pic:nvPicPr>
                        <pic:blipFill rotWithShape="1">
                          <a:blip r:embed="rId40">
                            <a:extLst>
                              <a:ext uri="{28A0092B-C50C-407E-A947-70E740481C1C}">
                                <a14:useLocalDpi xmlns:a14="http://schemas.microsoft.com/office/drawing/2010/main" val="0"/>
                              </a:ext>
                            </a:extLst>
                          </a:blip>
                          <a:srcRect l="13528" t="21912" r="-13528" b="24389"/>
                          <a:stretch/>
                        </pic:blipFill>
                        <pic:spPr>
                          <a:xfrm>
                            <a:off x="0" y="0"/>
                            <a:ext cx="2284392" cy="1828800"/>
                          </a:xfrm>
                          <a:prstGeom prst="rect">
                            <a:avLst/>
                          </a:prstGeom>
                        </pic:spPr>
                      </pic:pic>
                    </a:graphicData>
                  </a:graphic>
                </wp:inline>
              </w:drawing>
            </w:r>
          </w:p>
        </w:tc>
        <w:tc>
          <w:tcPr>
            <w:tcW w:w="3120" w:type="dxa"/>
            <w:vMerge w:val="restart"/>
          </w:tcPr>
          <w:p w14:paraId="4F1254FF" w14:textId="77777777" w:rsidR="00C34E7F" w:rsidRDefault="00C34E7F" w:rsidP="007245F5">
            <w:r w:rsidRPr="00404AB1">
              <w:rPr>
                <w:noProof/>
                <w:lang w:eastAsia="zh-CN" w:bidi="ar-SA"/>
              </w:rPr>
              <w:drawing>
                <wp:inline distT="0" distB="0" distL="0" distR="0" wp14:anchorId="125B94EC" wp14:editId="682B6A17">
                  <wp:extent cx="3810010" cy="2337278"/>
                  <wp:effectExtent l="0" t="6350" r="0" b="0"/>
                  <wp:docPr id="29" name="Picture 8">
                    <a:extLst xmlns:a="http://schemas.openxmlformats.org/drawingml/2006/main">
                      <a:ext uri="{FF2B5EF4-FFF2-40B4-BE49-F238E27FC236}">
                        <a16:creationId xmlns:a16="http://schemas.microsoft.com/office/drawing/2014/main" id="{CE9D4E90-5D23-4626-B68B-52997B4E4EB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a:extLst>
                              <a:ext uri="{FF2B5EF4-FFF2-40B4-BE49-F238E27FC236}">
                                <a16:creationId xmlns:a16="http://schemas.microsoft.com/office/drawing/2014/main" id="{CE9D4E90-5D23-4626-B68B-52997B4E4EB6}"/>
                              </a:ext>
                            </a:extLst>
                          </pic:cNvPr>
                          <pic:cNvPicPr>
                            <a:picLocks noChangeAspect="1"/>
                          </pic:cNvPicPr>
                        </pic:nvPicPr>
                        <pic:blipFill rotWithShape="1">
                          <a:blip r:embed="rId41" cstate="print">
                            <a:extLst>
                              <a:ext uri="{28A0092B-C50C-407E-A947-70E740481C1C}">
                                <a14:useLocalDpi xmlns:a14="http://schemas.microsoft.com/office/drawing/2010/main" val="0"/>
                              </a:ext>
                            </a:extLst>
                          </a:blip>
                          <a:srcRect l="17973" t="5537" r="2760" b="8015"/>
                          <a:stretch/>
                        </pic:blipFill>
                        <pic:spPr>
                          <a:xfrm rot="5400000">
                            <a:off x="0" y="0"/>
                            <a:ext cx="3815441" cy="2340610"/>
                          </a:xfrm>
                          <a:prstGeom prst="rect">
                            <a:avLst/>
                          </a:prstGeom>
                        </pic:spPr>
                      </pic:pic>
                    </a:graphicData>
                  </a:graphic>
                </wp:inline>
              </w:drawing>
            </w:r>
          </w:p>
        </w:tc>
      </w:tr>
      <w:tr w:rsidR="00C34E7F" w14:paraId="537FE692" w14:textId="77777777" w:rsidTr="00CF34B9">
        <w:trPr>
          <w:trHeight w:val="3024"/>
        </w:trPr>
        <w:tc>
          <w:tcPr>
            <w:tcW w:w="3115" w:type="dxa"/>
          </w:tcPr>
          <w:p w14:paraId="5DAFB8BF" w14:textId="77777777" w:rsidR="00C34E7F" w:rsidRDefault="00C34E7F" w:rsidP="007245F5">
            <w:r w:rsidRPr="00404AB1">
              <w:rPr>
                <w:noProof/>
                <w:lang w:eastAsia="zh-CN" w:bidi="ar-SA"/>
              </w:rPr>
              <w:drawing>
                <wp:inline distT="0" distB="0" distL="0" distR="0" wp14:anchorId="10A6A582" wp14:editId="6428203A">
                  <wp:extent cx="2284392" cy="1828800"/>
                  <wp:effectExtent l="0" t="0" r="1905" b="0"/>
                  <wp:docPr id="24" name="Picture 3">
                    <a:extLst xmlns:a="http://schemas.openxmlformats.org/drawingml/2006/main">
                      <a:ext uri="{FF2B5EF4-FFF2-40B4-BE49-F238E27FC236}">
                        <a16:creationId xmlns:a16="http://schemas.microsoft.com/office/drawing/2014/main" id="{9F076215-F865-4865-A3C9-ADB6DB2E58C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9F076215-F865-4865-A3C9-ADB6DB2E58C0}"/>
                              </a:ext>
                            </a:extLst>
                          </pic:cNvPr>
                          <pic:cNvPicPr>
                            <a:picLocks noChangeAspect="1"/>
                          </pic:cNvPicPr>
                        </pic:nvPicPr>
                        <pic:blipFill rotWithShape="1">
                          <a:blip r:embed="rId42" cstate="print">
                            <a:extLst>
                              <a:ext uri="{28A0092B-C50C-407E-A947-70E740481C1C}">
                                <a14:useLocalDpi xmlns:a14="http://schemas.microsoft.com/office/drawing/2010/main" val="0"/>
                              </a:ext>
                            </a:extLst>
                          </a:blip>
                          <a:srcRect l="37608" t="-13" r="3839" b="13"/>
                          <a:stretch/>
                        </pic:blipFill>
                        <pic:spPr>
                          <a:xfrm>
                            <a:off x="0" y="0"/>
                            <a:ext cx="2284392" cy="1828800"/>
                          </a:xfrm>
                          <a:prstGeom prst="rect">
                            <a:avLst/>
                          </a:prstGeom>
                        </pic:spPr>
                      </pic:pic>
                    </a:graphicData>
                  </a:graphic>
                </wp:inline>
              </w:drawing>
            </w:r>
          </w:p>
        </w:tc>
        <w:tc>
          <w:tcPr>
            <w:tcW w:w="3115" w:type="dxa"/>
          </w:tcPr>
          <w:p w14:paraId="394F532D" w14:textId="77777777" w:rsidR="00C34E7F" w:rsidRDefault="00C34E7F" w:rsidP="007245F5">
            <w:r w:rsidRPr="00404AB1">
              <w:rPr>
                <w:noProof/>
                <w:lang w:eastAsia="zh-CN" w:bidi="ar-SA"/>
              </w:rPr>
              <w:drawing>
                <wp:inline distT="0" distB="0" distL="0" distR="0" wp14:anchorId="72692D28" wp14:editId="47F63A70">
                  <wp:extent cx="2284392" cy="1828800"/>
                  <wp:effectExtent l="0" t="0" r="1905" b="0"/>
                  <wp:docPr id="30" name="Picture 10">
                    <a:extLst xmlns:a="http://schemas.openxmlformats.org/drawingml/2006/main">
                      <a:ext uri="{FF2B5EF4-FFF2-40B4-BE49-F238E27FC236}">
                        <a16:creationId xmlns:a16="http://schemas.microsoft.com/office/drawing/2014/main" id="{D5E5EC07-8D24-49C7-96F2-567BE506434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a:extLst>
                              <a:ext uri="{FF2B5EF4-FFF2-40B4-BE49-F238E27FC236}">
                                <a16:creationId xmlns:a16="http://schemas.microsoft.com/office/drawing/2014/main" id="{D5E5EC07-8D24-49C7-96F2-567BE506434C}"/>
                              </a:ext>
                            </a:extLst>
                          </pic:cNvPr>
                          <pic:cNvPicPr>
                            <a:picLocks noChangeAspect="1"/>
                          </pic:cNvPicPr>
                        </pic:nvPicPr>
                        <pic:blipFill rotWithShape="1">
                          <a:blip r:embed="rId43" cstate="print">
                            <a:extLst>
                              <a:ext uri="{28A0092B-C50C-407E-A947-70E740481C1C}">
                                <a14:useLocalDpi xmlns:a14="http://schemas.microsoft.com/office/drawing/2010/main" val="0"/>
                              </a:ext>
                            </a:extLst>
                          </a:blip>
                          <a:srcRect r="10633"/>
                          <a:stretch/>
                        </pic:blipFill>
                        <pic:spPr>
                          <a:xfrm>
                            <a:off x="0" y="0"/>
                            <a:ext cx="2284392" cy="1828800"/>
                          </a:xfrm>
                          <a:prstGeom prst="rect">
                            <a:avLst/>
                          </a:prstGeom>
                        </pic:spPr>
                      </pic:pic>
                    </a:graphicData>
                  </a:graphic>
                </wp:inline>
              </w:drawing>
            </w:r>
          </w:p>
        </w:tc>
        <w:tc>
          <w:tcPr>
            <w:tcW w:w="3120" w:type="dxa"/>
            <w:vMerge/>
          </w:tcPr>
          <w:p w14:paraId="3336AC61" w14:textId="77777777" w:rsidR="00C34E7F" w:rsidRDefault="00C34E7F" w:rsidP="007245F5"/>
        </w:tc>
      </w:tr>
      <w:tr w:rsidR="00C34E7F" w14:paraId="21D17ACC" w14:textId="77777777" w:rsidTr="00CF34B9">
        <w:trPr>
          <w:trHeight w:val="3024"/>
        </w:trPr>
        <w:tc>
          <w:tcPr>
            <w:tcW w:w="3115" w:type="dxa"/>
          </w:tcPr>
          <w:p w14:paraId="6CBD4701" w14:textId="77777777" w:rsidR="00C34E7F" w:rsidRDefault="00C34E7F" w:rsidP="007245F5">
            <w:r w:rsidRPr="00404AB1">
              <w:rPr>
                <w:noProof/>
                <w:lang w:eastAsia="zh-CN" w:bidi="ar-SA"/>
              </w:rPr>
              <w:drawing>
                <wp:inline distT="0" distB="0" distL="0" distR="0" wp14:anchorId="4C2CAB89" wp14:editId="6FF4AE87">
                  <wp:extent cx="1828801" cy="2285765"/>
                  <wp:effectExtent l="0" t="8255" r="1270" b="1270"/>
                  <wp:docPr id="25" name="Picture 4">
                    <a:extLst xmlns:a="http://schemas.openxmlformats.org/drawingml/2006/main">
                      <a:ext uri="{FF2B5EF4-FFF2-40B4-BE49-F238E27FC236}">
                        <a16:creationId xmlns:a16="http://schemas.microsoft.com/office/drawing/2014/main" id="{FD2CDAC9-B3DE-4F1B-8897-00D4763B8DB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FD2CDAC9-B3DE-4F1B-8897-00D4763B8DBB}"/>
                              </a:ext>
                            </a:extLst>
                          </pic:cNvPr>
                          <pic:cNvPicPr>
                            <a:picLocks noChangeAspect="1"/>
                          </pic:cNvPicPr>
                        </pic:nvPicPr>
                        <pic:blipFill rotWithShape="1">
                          <a:blip r:embed="rId44" cstate="print">
                            <a:extLst>
                              <a:ext uri="{28A0092B-C50C-407E-A947-70E740481C1C}">
                                <a14:useLocalDpi xmlns:a14="http://schemas.microsoft.com/office/drawing/2010/main" val="0"/>
                              </a:ext>
                            </a:extLst>
                          </a:blip>
                          <a:srcRect l="32570" t="16244" r="25898" b="14544"/>
                          <a:stretch/>
                        </pic:blipFill>
                        <pic:spPr>
                          <a:xfrm rot="5400000">
                            <a:off x="0" y="0"/>
                            <a:ext cx="1828801" cy="2285765"/>
                          </a:xfrm>
                          <a:prstGeom prst="rect">
                            <a:avLst/>
                          </a:prstGeom>
                        </pic:spPr>
                      </pic:pic>
                    </a:graphicData>
                  </a:graphic>
                </wp:inline>
              </w:drawing>
            </w:r>
          </w:p>
        </w:tc>
        <w:tc>
          <w:tcPr>
            <w:tcW w:w="3115" w:type="dxa"/>
          </w:tcPr>
          <w:p w14:paraId="3459D4A5" w14:textId="77777777" w:rsidR="00C34E7F" w:rsidRDefault="00C34E7F" w:rsidP="007245F5">
            <w:r w:rsidRPr="004F1138">
              <w:rPr>
                <w:noProof/>
                <w:lang w:eastAsia="zh-CN" w:bidi="ar-SA"/>
              </w:rPr>
              <w:drawing>
                <wp:inline distT="0" distB="0" distL="0" distR="0" wp14:anchorId="48ED52FD" wp14:editId="5395A1E7">
                  <wp:extent cx="2285766" cy="1828801"/>
                  <wp:effectExtent l="0" t="0" r="635" b="0"/>
                  <wp:docPr id="31" name="Picture 12">
                    <a:extLst xmlns:a="http://schemas.openxmlformats.org/drawingml/2006/main">
                      <a:ext uri="{FF2B5EF4-FFF2-40B4-BE49-F238E27FC236}">
                        <a16:creationId xmlns:a16="http://schemas.microsoft.com/office/drawing/2014/main" id="{DDD30E3F-EA8F-4814-9B69-7FF3725FC40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a:extLst>
                              <a:ext uri="{FF2B5EF4-FFF2-40B4-BE49-F238E27FC236}">
                                <a16:creationId xmlns:a16="http://schemas.microsoft.com/office/drawing/2014/main" id="{DDD30E3F-EA8F-4814-9B69-7FF3725FC407}"/>
                              </a:ext>
                            </a:extLst>
                          </pic:cNvPr>
                          <pic:cNvPicPr>
                            <a:picLocks noChangeAspect="1"/>
                          </pic:cNvPicPr>
                        </pic:nvPicPr>
                        <pic:blipFill rotWithShape="1">
                          <a:blip r:embed="rId45" cstate="print">
                            <a:extLst>
                              <a:ext uri="{28A0092B-C50C-407E-A947-70E740481C1C}">
                                <a14:useLocalDpi xmlns:a14="http://schemas.microsoft.com/office/drawing/2010/main" val="0"/>
                              </a:ext>
                            </a:extLst>
                          </a:blip>
                          <a:srcRect l="3561" r="12697"/>
                          <a:stretch/>
                        </pic:blipFill>
                        <pic:spPr>
                          <a:xfrm>
                            <a:off x="0" y="0"/>
                            <a:ext cx="2285766" cy="1828801"/>
                          </a:xfrm>
                          <a:prstGeom prst="rect">
                            <a:avLst/>
                          </a:prstGeom>
                        </pic:spPr>
                      </pic:pic>
                    </a:graphicData>
                  </a:graphic>
                </wp:inline>
              </w:drawing>
            </w:r>
          </w:p>
        </w:tc>
        <w:tc>
          <w:tcPr>
            <w:tcW w:w="3120" w:type="dxa"/>
          </w:tcPr>
          <w:p w14:paraId="753F8B57" w14:textId="77777777" w:rsidR="00C34E7F" w:rsidRDefault="00C34E7F" w:rsidP="007245F5">
            <w:r w:rsidRPr="00404AB1">
              <w:rPr>
                <w:noProof/>
                <w:lang w:eastAsia="zh-CN" w:bidi="ar-SA"/>
              </w:rPr>
              <w:drawing>
                <wp:inline distT="0" distB="0" distL="0" distR="0" wp14:anchorId="2E710DA2" wp14:editId="4224DD36">
                  <wp:extent cx="2285766" cy="1828801"/>
                  <wp:effectExtent l="0" t="0" r="635" b="0"/>
                  <wp:docPr id="28" name="Picture 9" descr="C:\Users\danas\AppData\Local\Packages\Microsoft.Office.Desktop_8wekyb3d8bbwe\AC\INetCache\Content.MSO\D5F18DB.tmp">
                    <a:extLst xmlns:a="http://schemas.openxmlformats.org/drawingml/2006/main">
                      <a:ext uri="{FF2B5EF4-FFF2-40B4-BE49-F238E27FC236}">
                        <a16:creationId xmlns:a16="http://schemas.microsoft.com/office/drawing/2014/main" id="{E24139B7-13BD-4733-A3D2-FF21D16B2C31}"/>
                      </a:ext>
                    </a:extLst>
                  </wp:docPr>
                  <wp:cNvGraphicFramePr/>
                  <a:graphic xmlns:a="http://schemas.openxmlformats.org/drawingml/2006/main">
                    <a:graphicData uri="http://schemas.openxmlformats.org/drawingml/2006/picture">
                      <pic:pic xmlns:pic="http://schemas.openxmlformats.org/drawingml/2006/picture">
                        <pic:nvPicPr>
                          <pic:cNvPr id="10" name="Picture 9" descr="C:\Users\danas\AppData\Local\Packages\Microsoft.Office.Desktop_8wekyb3d8bbwe\AC\INetCache\Content.MSO\D5F18DB.tmp">
                            <a:extLst>
                              <a:ext uri="{FF2B5EF4-FFF2-40B4-BE49-F238E27FC236}">
                                <a16:creationId xmlns:a16="http://schemas.microsoft.com/office/drawing/2014/main" id="{E24139B7-13BD-4733-A3D2-FF21D16B2C31}"/>
                              </a:ext>
                            </a:extLst>
                          </pic:cNvPr>
                          <pic:cNvPicPr/>
                        </pic:nvPicPr>
                        <pic:blipFill rotWithShape="1">
                          <a:blip r:embed="rId46">
                            <a:extLst>
                              <a:ext uri="{28A0092B-C50C-407E-A947-70E740481C1C}">
                                <a14:useLocalDpi xmlns:a14="http://schemas.microsoft.com/office/drawing/2010/main" val="0"/>
                              </a:ext>
                            </a:extLst>
                          </a:blip>
                          <a:srcRect l="31167"/>
                          <a:stretch/>
                        </pic:blipFill>
                        <pic:spPr bwMode="auto">
                          <a:xfrm>
                            <a:off x="0" y="0"/>
                            <a:ext cx="2285766" cy="1828801"/>
                          </a:xfrm>
                          <a:prstGeom prst="rect">
                            <a:avLst/>
                          </a:prstGeom>
                          <a:noFill/>
                          <a:ln>
                            <a:noFill/>
                          </a:ln>
                        </pic:spPr>
                      </pic:pic>
                    </a:graphicData>
                  </a:graphic>
                </wp:inline>
              </w:drawing>
            </w:r>
          </w:p>
        </w:tc>
      </w:tr>
    </w:tbl>
    <w:p w14:paraId="7D9FF8EF" w14:textId="09D6D90D" w:rsidR="00DF5E35" w:rsidRDefault="00C34E7F" w:rsidP="00C34E7F">
      <w:pPr>
        <w:pStyle w:val="TOF"/>
      </w:pPr>
      <w:bookmarkStart w:id="84" w:name="_Toc526197080"/>
      <w:r>
        <w:t xml:space="preserve">Figure </w:t>
      </w:r>
      <w:r w:rsidR="00A44049">
        <w:t>2.7</w:t>
      </w:r>
      <w:r>
        <w:t xml:space="preserve">. </w:t>
      </w:r>
      <w:r w:rsidR="008E5A7B">
        <w:t>I</w:t>
      </w:r>
      <w:r>
        <w:t xml:space="preserve">mpacts of eutrophication on </w:t>
      </w:r>
      <w:r w:rsidR="008E5A7B">
        <w:t xml:space="preserve">beneficial uses of </w:t>
      </w:r>
      <w:r>
        <w:t>streams, rivers and estuarie</w:t>
      </w:r>
      <w:r w:rsidR="008E5A7B">
        <w:t>s</w:t>
      </w:r>
      <w:r>
        <w:t>: contamination of drinking water, toxin-producing blooms that are unsafe for humans and have caused dog and sea otter deaths, non-toxic nuisance blooms that can lead to hypoxia and fish kills, as well as toxic and non-toxic blooms that form algae scums and release unpleasant odor</w:t>
      </w:r>
      <w:r w:rsidR="008E5A7B">
        <w:t>s</w:t>
      </w:r>
      <w:r>
        <w:t>. (Photo sources: top left from epa.gov, top middle from dogtrekker.com,</w:t>
      </w:r>
      <w:r w:rsidR="008E5A7B">
        <w:t xml:space="preserve"> top right SCCWRP,</w:t>
      </w:r>
      <w:r>
        <w:t xml:space="preserve"> middle left from USC Annenberg Center for Health Journalism, middle middle: Harry Morse, </w:t>
      </w:r>
      <w:r w:rsidR="008E5A7B">
        <w:t xml:space="preserve">bottom left SCCWRP, </w:t>
      </w:r>
      <w:r>
        <w:t>bottom middle:USFWS , bottom right: Michiganfarmer.com).</w:t>
      </w:r>
      <w:bookmarkEnd w:id="84"/>
    </w:p>
    <w:p w14:paraId="31F4195D" w14:textId="77777777" w:rsidR="008A388C" w:rsidRDefault="008A388C" w:rsidP="008A388C">
      <w:pPr>
        <w:pStyle w:val="Heading2"/>
      </w:pPr>
      <w:bookmarkStart w:id="85" w:name="_Toc525589900"/>
      <w:bookmarkStart w:id="86" w:name="_Toc525595052"/>
      <w:bookmarkStart w:id="87" w:name="_Toc526196688"/>
      <w:r>
        <w:t>2.4 Evidence of Eutrophication Impacts to California Water bodies</w:t>
      </w:r>
      <w:bookmarkEnd w:id="85"/>
      <w:bookmarkEnd w:id="86"/>
      <w:bookmarkEnd w:id="87"/>
    </w:p>
    <w:p w14:paraId="7C7DD721" w14:textId="3F2E17E8" w:rsidR="008A388C" w:rsidRDefault="008A388C" w:rsidP="003561A6">
      <w:r w:rsidRPr="003561A6">
        <w:t>Eutrophication symptoms are ubiquitous across the California landscape</w:t>
      </w:r>
      <w:r w:rsidR="00352C27">
        <w:t>,</w:t>
      </w:r>
      <w:r w:rsidRPr="003561A6">
        <w:t xml:space="preserve"> Regional Boards and waterbody types, from ridgeline to reefs, providing a strong justification for coordinated state policy to prevent and mitigate eutrophication, particularly as climate change impacts on temperature and hydrology are likely to continue to exacerbate these conditions in the future (Paerl et al. 2011).</w:t>
      </w:r>
      <w:r>
        <w:t xml:space="preserve"> </w:t>
      </w:r>
    </w:p>
    <w:p w14:paraId="4702B9CF" w14:textId="77777777" w:rsidR="00342E2F" w:rsidRDefault="00342E2F" w:rsidP="008A388C">
      <w:pPr>
        <w:ind w:firstLine="720"/>
        <w:rPr>
          <w:b/>
        </w:rPr>
      </w:pPr>
    </w:p>
    <w:p w14:paraId="463867AB" w14:textId="5035E608" w:rsidR="00342E2F" w:rsidRDefault="00342E2F" w:rsidP="00342E2F">
      <w:pPr>
        <w:pStyle w:val="Heading3"/>
      </w:pPr>
      <w:bookmarkStart w:id="88" w:name="_Toc526196689"/>
      <w:r>
        <w:t xml:space="preserve">2.4.1 </w:t>
      </w:r>
      <w:r w:rsidR="008A388C">
        <w:t>Toxic Harmful Algal Bloom.</w:t>
      </w:r>
      <w:bookmarkEnd w:id="88"/>
      <w:r w:rsidR="008A388C">
        <w:t xml:space="preserve"> </w:t>
      </w:r>
    </w:p>
    <w:p w14:paraId="02B2FEBC" w14:textId="2A1A7DCC" w:rsidR="008A388C" w:rsidRDefault="008A388C" w:rsidP="003561A6">
      <w:pPr>
        <w:tabs>
          <w:tab w:val="left" w:pos="720"/>
        </w:tabs>
      </w:pPr>
      <w:r>
        <w:t xml:space="preserve">HABs can have negative impacts on the environment and raise serious concerns for drinking water sources, recreational use, pets, wildlife, and livestock. In recent years, harmful algae blooms from cyanobacteria (CyanoHABs), and associated cyanotoxins, have gained national attention due to increases in the frequency and severity of blooms, and their impacts on drinking water sources, on bivalves and recreational fisheries, causing concerns of bioaccumulation to aquatic and human food chains. There are several well-documented problem areas in California that have been monitored through either assessment studies or water quality monitoring programs. Some of the areas with recurrent toxic cyanobacteria blooms include the Klamath River watershed (including Copco and Iron Gate Reservoirs), Clear Lake, Pinto Lake, lower Sacramento and San Joaquin Rivers and Delta, Lake Elsinore and several East San Francisco Bay Area lakes. The Klamath River and Pinto Lake have been placed on the State’s Clean Water Act Section 303(d) list due to impairment caused by cyanotoxins. In the Klamath River Watershed, high cell densities and toxins (microcystin) of </w:t>
      </w:r>
      <w:r w:rsidRPr="00976C85">
        <w:t>Microcystis aeruginosa</w:t>
      </w:r>
      <w:r>
        <w:t xml:space="preserve"> have been observed since </w:t>
      </w:r>
      <w:r w:rsidRPr="003561A6">
        <w:t>2004 (Kann, 2004; Jacoby and Kann 2007; Fetcho 2007; Moisander et al. 2009). Microcystis aeruginosa cells and microcystin have been documented in mussels (bivalves) and fish tissue collected from the river (Kann 2008). Concern with impact to recreational uses has caused the State to agree on voluntary listing guidance for cyanoHABs (Table 2.5, CCHAB 2016) and to undertake an annual pre-4</w:t>
      </w:r>
      <w:r w:rsidRPr="003561A6">
        <w:rPr>
          <w:vertAlign w:val="superscript"/>
        </w:rPr>
        <w:t>th</w:t>
      </w:r>
      <w:r w:rsidRPr="003561A6">
        <w:t xml:space="preserve"> of July and Labor Day recreational lakes assessment to assess safe-to-swim (</w:t>
      </w:r>
      <w:hyperlink r:id="rId47">
        <w:r w:rsidRPr="003561A6">
          <w:rPr>
            <w:color w:val="0000FF"/>
            <w:u w:val="single"/>
          </w:rPr>
          <w:t>https://mywaterquality.ca.gov/habs/data_viewer/</w:t>
        </w:r>
      </w:hyperlink>
      <w:r w:rsidRPr="003561A6">
        <w:t>).</w:t>
      </w:r>
      <w:r>
        <w:t xml:space="preserve"> </w:t>
      </w:r>
    </w:p>
    <w:p w14:paraId="27E31B96" w14:textId="62345151" w:rsidR="008A388C" w:rsidRDefault="008A388C" w:rsidP="008A388C">
      <w:pPr>
        <w:pStyle w:val="TOT"/>
        <w:rPr>
          <w:rFonts w:eastAsia="Arial"/>
        </w:rPr>
      </w:pPr>
      <w:bookmarkStart w:id="89" w:name="_2p2csry" w:colFirst="0" w:colLast="0"/>
      <w:bookmarkStart w:id="90" w:name="_Toc526428312"/>
      <w:bookmarkEnd w:id="89"/>
      <w:r>
        <w:rPr>
          <w:rFonts w:eastAsia="Arial"/>
        </w:rPr>
        <w:t>Table 2.5. CCHAB trigger levels for cyanotoxin impacts to human health (from MyWaterQualityPortal.ca.gov).</w:t>
      </w:r>
      <w:bookmarkEnd w:id="90"/>
      <w:r>
        <w:rPr>
          <w:rFonts w:eastAsia="Arial"/>
        </w:rPr>
        <w:t xml:space="preserve"> </w:t>
      </w:r>
    </w:p>
    <w:p w14:paraId="4EA60031" w14:textId="77777777" w:rsidR="008A388C" w:rsidRDefault="008A388C" w:rsidP="008A388C">
      <w:r>
        <w:rPr>
          <w:noProof/>
          <w:lang w:eastAsia="zh-CN" w:bidi="ar-SA"/>
        </w:rPr>
        <w:drawing>
          <wp:inline distT="0" distB="0" distL="0" distR="0" wp14:anchorId="05C31B98" wp14:editId="29064041">
            <wp:extent cx="5410200" cy="2566670"/>
            <wp:effectExtent l="0" t="0" r="0" b="5080"/>
            <wp:docPr id="15"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48"/>
                    <a:srcRect/>
                    <a:stretch>
                      <a:fillRect/>
                    </a:stretch>
                  </pic:blipFill>
                  <pic:spPr>
                    <a:xfrm>
                      <a:off x="0" y="0"/>
                      <a:ext cx="5423200" cy="2572837"/>
                    </a:xfrm>
                    <a:prstGeom prst="rect">
                      <a:avLst/>
                    </a:prstGeom>
                    <a:ln/>
                  </pic:spPr>
                </pic:pic>
              </a:graphicData>
            </a:graphic>
          </wp:inline>
        </w:drawing>
      </w:r>
    </w:p>
    <w:p w14:paraId="51623935" w14:textId="4A253483" w:rsidR="008A388C" w:rsidRPr="003561A6" w:rsidRDefault="008A388C" w:rsidP="003561A6">
      <w:r>
        <w:t xml:space="preserve">CyanoHABs are not just associated with lakes or other lentic </w:t>
      </w:r>
      <w:r w:rsidRPr="003561A6">
        <w:t xml:space="preserve">waterbodies (Magrann et al. </w:t>
      </w:r>
      <w:r w:rsidR="002C46EB" w:rsidRPr="003561A6">
        <w:t>2015</w:t>
      </w:r>
      <w:r w:rsidRPr="003561A6">
        <w:t>).</w:t>
      </w:r>
      <w:r>
        <w:t xml:space="preserve"> More recently, cyanobacteria and cyanotoxin data have been collected opportunistically through several programs. These data indicate that cyanobacteria are prevalent throughout California in all types of waterbodies sampled (lakes, rivers, streams, wetlands, estuaries and coastal). Recent statewide </w:t>
      </w:r>
      <w:r w:rsidRPr="003561A6">
        <w:t>assessment surveys of wadeable streams found that benthic cyanobacteria and related cyanotoxins are widely present, suggesting that these streams can be a significant cyanotoxin source to receiving waters (Fetscher et al. 2015). In statewide studies conducted from 2007 through 2013, samples were collected from more than 1,200 wadeable stream reaches. Analysis revealed a high occurrence of potentially toxic benthic cyanobacteria taxa, and detection of microcystins in one-third of reaches and 34% of stream kilometers. Detected toxins included lyngbyatoxin, saxitoxins, anatoxin-a, and microcystins (Fetscher et al. 2015). Additionally, the State Water Quality Control Board’s Surface Water Ambient Monitoring Program (SWAMP) has measured cyanotoxins in sediment at the bottom of major watersheds at most sampling sites.</w:t>
      </w:r>
    </w:p>
    <w:p w14:paraId="167C25EE" w14:textId="625DFF65" w:rsidR="003561A6" w:rsidRDefault="008A388C" w:rsidP="003561A6">
      <w:r w:rsidRPr="003561A6">
        <w:t>Freshwater HABs and associated toxins can impact estuarine and marine uses. For example, the mortality of over 30 endangered California Sea Otters (</w:t>
      </w:r>
      <w:r w:rsidRPr="00C030E9">
        <w:rPr>
          <w:i/>
        </w:rPr>
        <w:t>Enhydra lutris</w:t>
      </w:r>
      <w:r w:rsidRPr="003561A6">
        <w:t>) in Elkhorn Slough and Monterey Bay was determined to be due to microcystin intoxication, with ingestion of contaminated marine bivalves as the primary mechanism (Miller et al. 2010). Pinto Lake, a eutrophic lake that experiences frequent cyanobacteria blooms and drains to Elkhorn Slough and Monterey Bay via the Pajaro River, was identified as the primary source of the toxin (</w:t>
      </w:r>
      <w:bookmarkStart w:id="91" w:name="_Hlk526164657"/>
      <w:r w:rsidR="003561A6">
        <w:t>Figure 2.</w:t>
      </w:r>
      <w:r w:rsidR="00714BE2">
        <w:t>8</w:t>
      </w:r>
      <w:r w:rsidR="003561A6">
        <w:t xml:space="preserve">; </w:t>
      </w:r>
      <w:r w:rsidRPr="003561A6">
        <w:t>Miller et al. 2010; Kudela 2011</w:t>
      </w:r>
      <w:bookmarkEnd w:id="91"/>
      <w:r w:rsidRPr="003561A6">
        <w:t>). Microcystin-laden water from the Pajaro River, and other tributaries to the Bay, flow to the coast where the toxin is biomagnified by bivalves, and ultimately consumed by otters (Miller et al. 2010). Microcystins have been shown to bioaccumulate in commercially and recreationally-harvested invertebrates such as Pacific oysters (</w:t>
      </w:r>
      <w:r w:rsidRPr="00C030E9">
        <w:rPr>
          <w:i/>
        </w:rPr>
        <w:t>Crassostrea gigas</w:t>
      </w:r>
      <w:r w:rsidRPr="003561A6">
        <w:t>) and mussels (</w:t>
      </w:r>
      <w:r w:rsidRPr="00C030E9">
        <w:rPr>
          <w:i/>
        </w:rPr>
        <w:t>Mytilus edulis</w:t>
      </w:r>
      <w:r w:rsidRPr="003561A6">
        <w:t>) (Miller et al. 2010). Microcystins were shown to be present and persistent in most of the coastal watersheds that flow to the Monterey Bay National Marine Sanctuary over a 3-year time-series survey (Gibble and Kudela 2014); nutrient loading was determined to be a significant predictor of microcystin concentrations in the watersheds (Gibble and Kudela 2014). These studies have shown cyanotoxins to have far reaching effects downstream of their origin and have</w:t>
      </w:r>
      <w:r>
        <w:t xml:space="preserve"> promoted cyanotoxins from predominantly a freshwater issue to a land-sea interface problem.</w:t>
      </w:r>
    </w:p>
    <w:p w14:paraId="15040BB9" w14:textId="5F6E8F60" w:rsidR="003561A6" w:rsidRDefault="003561A6" w:rsidP="003561A6">
      <w:r>
        <w:rPr>
          <w:noProof/>
          <w:lang w:eastAsia="zh-CN" w:bidi="ar-SA"/>
        </w:rPr>
        <w:drawing>
          <wp:inline distT="0" distB="0" distL="0" distR="0" wp14:anchorId="22765873" wp14:editId="76E6E620">
            <wp:extent cx="4591050" cy="2580638"/>
            <wp:effectExtent l="0" t="0" r="0" b="0"/>
            <wp:docPr id="1058" name="Picture 1058"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Related image"/>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596871" cy="2583910"/>
                    </a:xfrm>
                    <a:prstGeom prst="rect">
                      <a:avLst/>
                    </a:prstGeom>
                    <a:noFill/>
                    <a:ln>
                      <a:noFill/>
                    </a:ln>
                  </pic:spPr>
                </pic:pic>
              </a:graphicData>
            </a:graphic>
          </wp:inline>
        </w:drawing>
      </w:r>
    </w:p>
    <w:p w14:paraId="2F7F2F1E" w14:textId="306150B7" w:rsidR="003561A6" w:rsidRDefault="003561A6" w:rsidP="003561A6">
      <w:pPr>
        <w:pStyle w:val="TOF"/>
      </w:pPr>
      <w:bookmarkStart w:id="92" w:name="_Toc526197081"/>
      <w:r>
        <w:t>Figure 2.</w:t>
      </w:r>
      <w:r w:rsidR="00714BE2">
        <w:t>8</w:t>
      </w:r>
      <w:r>
        <w:t xml:space="preserve"> Cyanobacterial bloom in Pinto Lake, California. Photo credit: Kudela Lab, UCSC</w:t>
      </w:r>
      <w:bookmarkEnd w:id="92"/>
    </w:p>
    <w:p w14:paraId="79B76198" w14:textId="56DE903F" w:rsidR="008A388C" w:rsidRDefault="008A388C" w:rsidP="003561A6">
      <w:r w:rsidRPr="00BB5A05">
        <w:t>Anthropogenic nutrient pollution can also exacerbate marine HABs including frequent blooms of</w:t>
      </w:r>
      <w:r w:rsidR="00C030E9">
        <w:t xml:space="preserve"> </w:t>
      </w:r>
      <w:r w:rsidR="00C030E9" w:rsidRPr="00C030E9">
        <w:rPr>
          <w:i/>
        </w:rPr>
        <w:t xml:space="preserve">Pseudo-nitzschia </w:t>
      </w:r>
      <w:r w:rsidR="00C030E9" w:rsidRPr="00BB5A05">
        <w:t>(PN)</w:t>
      </w:r>
      <w:r w:rsidR="00C030E9">
        <w:t>.</w:t>
      </w:r>
      <w:r w:rsidRPr="00BB5A05">
        <w:t xml:space="preserve">  Previously considered rare in phytoplankton communities, toxic and/or extremely high-biomass toxigenic harmful algal diatom genus </w:t>
      </w:r>
      <w:r w:rsidRPr="00C030E9">
        <w:rPr>
          <w:i/>
        </w:rPr>
        <w:t xml:space="preserve">Pseudo-nitzschia </w:t>
      </w:r>
      <w:r w:rsidRPr="00BB5A05">
        <w:t xml:space="preserve">(PN) </w:t>
      </w:r>
      <w:r w:rsidRPr="00C030E9">
        <w:rPr>
          <w:i/>
        </w:rPr>
        <w:t>spp</w:t>
      </w:r>
      <w:r w:rsidR="000D219E">
        <w:rPr>
          <w:i/>
        </w:rPr>
        <w:t>.</w:t>
      </w:r>
      <w:r w:rsidRPr="00BB5A05">
        <w:t xml:space="preserve"> blooms are now recognized as high impact events reported to frequently affect aquaculture operations, recreational zones, marine mammal and bird populations, and even open ocean ecosystems (Anderson et al. 2012). Domoic acid (DA) poisoning in marine mammal/bird populations and the threat of Amnesic Shellfish Poisoning (ASP) in humans is now considered to be the leading HAB and conservation issue for much of the U.S. West Coast (Kudela et al. 2008; Lewitus et al. 2012; Trainer et al. 2012) since these events have the potential to be devastating to aquatic life via bioaccumulation in the food web (Fritz et al. 1992; Lefebvre et al. 1999; Scholin et al. 2000). The summer of 2015 saw a record PN bloom, that stretched from Alaska to the Central Coast of California and lasted several months in duration, causing the closure of economically important fisheries such as  razor clams, Dungeness crab, sardines, anchovies, which cost hundreds of millions of dollars; it also resulted in record levels of  marine birds and mammal stranding along the coast (McCabe et al. in </w:t>
      </w:r>
      <w:r w:rsidR="002C46EB" w:rsidRPr="00BB5A05">
        <w:t>2016</w:t>
      </w:r>
      <w:r w:rsidRPr="00BB5A05">
        <w:t xml:space="preserve">).  Several studies from the Monterey Bay and Southern California Bight (SCB) suggest that the the toxigenic diatom genus, PN, is partially associated with periods of increased river runoff (Anderson et al. 2008a; Bates et al. 1998b; Dortch et al. 1997; Fisher et al.2003; Pan 2001; Trainer et al. 2000a; Van Dolah et al. 2003; Wells et al. 2005. </w:t>
      </w:r>
      <w:bookmarkStart w:id="93" w:name="_Hlk526134571"/>
      <w:r w:rsidRPr="00BB5A05">
        <w:t>Laboratory manipulations of toxigenic PN species in culture have shown that production of its deadly neurotoxin, DA, is in turn often a function of phosphate limitation at different phases of PN growth (Bates et al. 1991; Fehling et al. 2004b; Pan et al. 1996c; Pan et al. 1996d</w:t>
      </w:r>
      <w:r>
        <w:t xml:space="preserve">). </w:t>
      </w:r>
      <w:bookmarkEnd w:id="93"/>
      <w:r w:rsidRPr="00BB5A05">
        <w:t>At the same time, these changes in nutrient stoichiometry are likely coupled to increased loading of urea and other terrestrial nutrients, which further enhance toxin production by at least some species of PN (Howard et al. 2007; Kudela et al. 2008b).</w:t>
      </w:r>
      <w:r>
        <w:t xml:space="preserve"> </w:t>
      </w:r>
    </w:p>
    <w:p w14:paraId="34601281" w14:textId="62039E35" w:rsidR="002508D6" w:rsidRDefault="008A388C" w:rsidP="002E19E8">
      <w:r>
        <w:rPr>
          <w:b/>
        </w:rPr>
        <w:t>Non-Toxic Blooms.</w:t>
      </w:r>
      <w:r>
        <w:t xml:space="preserve"> Non-toxic harmful algal blooms can be problematic for beneficial uses</w:t>
      </w:r>
      <w:r w:rsidR="0030768D">
        <w:t xml:space="preserve"> (Figure 2.9)</w:t>
      </w:r>
      <w:r>
        <w:t xml:space="preserve">. </w:t>
      </w:r>
      <w:r w:rsidR="006D6554">
        <w:t>Some of these species are non-native, invasive species. For example, t</w:t>
      </w:r>
      <w:r>
        <w:t xml:space="preserve">he freshwater golden haptophyte alga, Prymnesium parvum, which has caused fish kills recently in Southern California, resulting in the impairment of beneficial uses of recreational lakes. </w:t>
      </w:r>
      <w:r w:rsidR="00EF4D6C">
        <w:t xml:space="preserve">In estuarine and marine waters, marine invasive such as Calpuera, Sargassum, and Undaria are aggressive invaders and displacing native kelp and seagrass habitats </w:t>
      </w:r>
      <w:r w:rsidR="00EF4D6C" w:rsidRPr="00565423">
        <w:t>(Kaplan et al. 2016</w:t>
      </w:r>
      <w:bookmarkStart w:id="94" w:name="_Hlk526134593"/>
      <w:r w:rsidR="00EF4D6C" w:rsidRPr="00565423">
        <w:t>). l</w:t>
      </w:r>
      <w:r w:rsidRPr="00565423">
        <w:t xml:space="preserve">n </w:t>
      </w:r>
      <w:r w:rsidR="000D219E">
        <w:t>S</w:t>
      </w:r>
      <w:r w:rsidR="000D219E" w:rsidRPr="00565423">
        <w:t xml:space="preserve">outhern </w:t>
      </w:r>
      <w:r w:rsidRPr="00565423">
        <w:t xml:space="preserve">California wadeable streams, 20-30% of stream miles are impacted by elevated macroalgal blooms (Mazor et al. 2018) </w:t>
      </w:r>
      <w:bookmarkEnd w:id="94"/>
      <w:r w:rsidRPr="00565423">
        <w:t xml:space="preserve">and eutrophication was identified a top causal stressor in degraded wadeable stream benthic macroinvertebrate and algal communities in that region. Similarly, McLaughlin et al. (2014) found that half of Southern California Bight estuaries had macroalgal biomass exceeding thresholds known to impact benthic macroinvertebrates (Sutula et al. 2014, Green et al. 2013) and </w:t>
      </w:r>
      <w:bookmarkStart w:id="95" w:name="_Hlk526134612"/>
      <w:r w:rsidRPr="00565423">
        <w:t xml:space="preserve">seagrass (Bittick et al. 2018) and one third had chronic blooms &gt;2 months.  Similar high biomass, chronic blooms have been observed in the estuaries of other regions including Elkhorn Slough (Hughes et al. </w:t>
      </w:r>
      <w:r w:rsidR="00BB5A05" w:rsidRPr="00565423">
        <w:t>2011</w:t>
      </w:r>
      <w:r w:rsidRPr="00565423">
        <w:t xml:space="preserve">), Humboldt and Bodega Bays (Sutula et al. 2014) and Morro Bay and Tomales Bay (Bittick et al. 2018). </w:t>
      </w:r>
      <w:r w:rsidR="00EF4D6C" w:rsidRPr="00565423">
        <w:t>These</w:t>
      </w:r>
      <w:r w:rsidR="00EF4D6C">
        <w:t xml:space="preserve"> algal blooms pose a threat to native organisms and habitats and can impede recreational (REC1 and REC2) uses such as swimming and standup paddleboarding.</w:t>
      </w:r>
    </w:p>
    <w:bookmarkEnd w:id="95"/>
    <w:p w14:paraId="31D7C333" w14:textId="2A657526" w:rsidR="002218F9" w:rsidRDefault="002218F9" w:rsidP="00FB0DDE">
      <w:pPr>
        <w:ind w:firstLine="720"/>
      </w:pPr>
    </w:p>
    <w:p w14:paraId="34C328F8" w14:textId="6532FF87" w:rsidR="002218F9" w:rsidRDefault="002218F9" w:rsidP="00FB0DDE">
      <w:pPr>
        <w:ind w:firstLine="720"/>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9"/>
        <w:gridCol w:w="4681"/>
      </w:tblGrid>
      <w:tr w:rsidR="00CF34B9" w14:paraId="249DB569" w14:textId="77777777" w:rsidTr="00CF34B9">
        <w:trPr>
          <w:trHeight w:val="2592"/>
        </w:trPr>
        <w:tc>
          <w:tcPr>
            <w:tcW w:w="4675" w:type="dxa"/>
          </w:tcPr>
          <w:p w14:paraId="26B1D336" w14:textId="04B8A2D6" w:rsidR="002508D6" w:rsidRDefault="002508D6" w:rsidP="002508D6">
            <w:pPr>
              <w:spacing w:after="0" w:line="240" w:lineRule="auto"/>
            </w:pPr>
            <w:r>
              <w:rPr>
                <w:noProof/>
                <w:lang w:eastAsia="zh-CN" w:bidi="ar-SA"/>
              </w:rPr>
              <w:drawing>
                <wp:anchor distT="0" distB="0" distL="114300" distR="114300" simplePos="0" relativeHeight="251656192" behindDoc="0" locked="0" layoutInCell="1" allowOverlap="1" wp14:anchorId="060EDF74" wp14:editId="1850A4A2">
                  <wp:simplePos x="0" y="0"/>
                  <wp:positionH relativeFrom="column">
                    <wp:posOffset>-48895</wp:posOffset>
                  </wp:positionH>
                  <wp:positionV relativeFrom="paragraph">
                    <wp:posOffset>72</wp:posOffset>
                  </wp:positionV>
                  <wp:extent cx="2939927" cy="1962150"/>
                  <wp:effectExtent l="0" t="0" r="0" b="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939927" cy="1962150"/>
                          </a:xfrm>
                          <a:prstGeom prst="rect">
                            <a:avLst/>
                          </a:prstGeom>
                        </pic:spPr>
                      </pic:pic>
                    </a:graphicData>
                  </a:graphic>
                </wp:anchor>
              </w:drawing>
            </w:r>
          </w:p>
        </w:tc>
        <w:tc>
          <w:tcPr>
            <w:tcW w:w="4675" w:type="dxa"/>
          </w:tcPr>
          <w:p w14:paraId="0F009696" w14:textId="1A7932FD" w:rsidR="002508D6" w:rsidRDefault="000036C2" w:rsidP="008A388C">
            <w:r>
              <w:rPr>
                <w:noProof/>
                <w:lang w:eastAsia="zh-CN" w:bidi="ar-SA"/>
              </w:rPr>
              <w:drawing>
                <wp:inline distT="0" distB="0" distL="0" distR="0" wp14:anchorId="3D2A92EE" wp14:editId="1400BC88">
                  <wp:extent cx="2942581" cy="1960880"/>
                  <wp:effectExtent l="0" t="0" r="0" b="1270"/>
                  <wp:docPr id="1059" name="Picture 1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1">
                            <a:extLst>
                              <a:ext uri="{28A0092B-C50C-407E-A947-70E740481C1C}">
                                <a14:useLocalDpi xmlns:a14="http://schemas.microsoft.com/office/drawing/2010/main" val="0"/>
                              </a:ext>
                            </a:extLst>
                          </a:blip>
                          <a:srcRect r="6139"/>
                          <a:stretch/>
                        </pic:blipFill>
                        <pic:spPr bwMode="auto">
                          <a:xfrm>
                            <a:off x="0" y="0"/>
                            <a:ext cx="2964800" cy="197568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F34B9" w14:paraId="3892D0FE" w14:textId="77777777" w:rsidTr="00CF34B9">
        <w:trPr>
          <w:trHeight w:val="2592"/>
        </w:trPr>
        <w:tc>
          <w:tcPr>
            <w:tcW w:w="4675" w:type="dxa"/>
          </w:tcPr>
          <w:p w14:paraId="51454A78" w14:textId="7CF105A6" w:rsidR="00C065FF" w:rsidRDefault="002218F9" w:rsidP="008A388C">
            <w:r>
              <w:rPr>
                <w:noProof/>
                <w:lang w:eastAsia="zh-CN" w:bidi="ar-SA"/>
              </w:rPr>
              <w:drawing>
                <wp:inline distT="0" distB="0" distL="0" distR="0" wp14:anchorId="6CA4A138" wp14:editId="02C9E380">
                  <wp:extent cx="2940685" cy="1841308"/>
                  <wp:effectExtent l="0" t="0" r="0" b="6985"/>
                  <wp:docPr id="1061" name="Picture 1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t="59077"/>
                          <a:stretch/>
                        </pic:blipFill>
                        <pic:spPr bwMode="auto">
                          <a:xfrm>
                            <a:off x="0" y="0"/>
                            <a:ext cx="2944368" cy="184361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75" w:type="dxa"/>
          </w:tcPr>
          <w:p w14:paraId="6A46C8D0" w14:textId="7298E085" w:rsidR="006C2B66" w:rsidRDefault="002218F9" w:rsidP="008A388C">
            <w:r>
              <w:rPr>
                <w:noProof/>
                <w:lang w:eastAsia="zh-CN" w:bidi="ar-SA"/>
              </w:rPr>
              <w:drawing>
                <wp:anchor distT="0" distB="0" distL="114300" distR="114300" simplePos="0" relativeHeight="251658240" behindDoc="0" locked="0" layoutInCell="1" allowOverlap="1" wp14:anchorId="6DEA39FC" wp14:editId="76938302">
                  <wp:simplePos x="0" y="0"/>
                  <wp:positionH relativeFrom="column">
                    <wp:posOffset>-4030</wp:posOffset>
                  </wp:positionH>
                  <wp:positionV relativeFrom="paragraph">
                    <wp:posOffset>3891</wp:posOffset>
                  </wp:positionV>
                  <wp:extent cx="2828925" cy="1752222"/>
                  <wp:effectExtent l="0" t="0" r="0" b="635"/>
                  <wp:wrapSquare wrapText="bothSides"/>
                  <wp:docPr id="1062" name="Picture 1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cstate="print">
                            <a:extLst>
                              <a:ext uri="{28A0092B-C50C-407E-A947-70E740481C1C}">
                                <a14:useLocalDpi xmlns:a14="http://schemas.microsoft.com/office/drawing/2010/main" val="0"/>
                              </a:ext>
                            </a:extLst>
                          </a:blip>
                          <a:srcRect r="3822"/>
                          <a:stretch/>
                        </pic:blipFill>
                        <pic:spPr bwMode="auto">
                          <a:xfrm>
                            <a:off x="0" y="0"/>
                            <a:ext cx="2828925" cy="1752222"/>
                          </a:xfrm>
                          <a:prstGeom prst="rect">
                            <a:avLst/>
                          </a:prstGeom>
                          <a:ln>
                            <a:noFill/>
                          </a:ln>
                          <a:extLst>
                            <a:ext uri="{53640926-AAD7-44D8-BBD7-CCE9431645EC}">
                              <a14:shadowObscured xmlns:a14="http://schemas.microsoft.com/office/drawing/2010/main"/>
                            </a:ext>
                          </a:extLst>
                        </pic:spPr>
                      </pic:pic>
                    </a:graphicData>
                  </a:graphic>
                </wp:anchor>
              </w:drawing>
            </w:r>
          </w:p>
        </w:tc>
      </w:tr>
    </w:tbl>
    <w:p w14:paraId="7D1C5068" w14:textId="6CC63599" w:rsidR="002508D6" w:rsidRDefault="008E5A7B" w:rsidP="00C065FF">
      <w:pPr>
        <w:pStyle w:val="TOF"/>
        <w:tabs>
          <w:tab w:val="clear" w:pos="9350"/>
          <w:tab w:val="left" w:pos="4959"/>
        </w:tabs>
      </w:pPr>
      <w:bookmarkStart w:id="96" w:name="_Toc526197082"/>
      <w:r>
        <w:t>Figure 2.</w:t>
      </w:r>
      <w:r w:rsidR="00714BE2">
        <w:t>9</w:t>
      </w:r>
      <w:r>
        <w:t>. Non-toxic algal bloom</w:t>
      </w:r>
      <w:r w:rsidR="00C065FF">
        <w:t>s</w:t>
      </w:r>
      <w:r w:rsidR="002218F9">
        <w:t xml:space="preserve">: Sargassum off Catalina Island (top left, photo by Tom Boyd), herbicide being sprayed on </w:t>
      </w:r>
      <w:r w:rsidR="002218F9" w:rsidRPr="002218F9">
        <w:t>Eichhornia crassipes</w:t>
      </w:r>
      <w:r w:rsidR="002218F9">
        <w:t xml:space="preserve"> (top right, photo by California State Parks Division of Boating and Waterways), algal scum in Santa Margarita River (photo by SCCWRP), news article about fish death from a golden algae bloom.</w:t>
      </w:r>
      <w:bookmarkEnd w:id="96"/>
    </w:p>
    <w:p w14:paraId="3DBCD0A6" w14:textId="77777777" w:rsidR="00565423" w:rsidRDefault="00565423" w:rsidP="00C065FF">
      <w:pPr>
        <w:pStyle w:val="TOF"/>
        <w:tabs>
          <w:tab w:val="clear" w:pos="9350"/>
          <w:tab w:val="left" w:pos="4959"/>
        </w:tabs>
      </w:pPr>
    </w:p>
    <w:p w14:paraId="176CC9EF" w14:textId="3FD94E2A" w:rsidR="008A388C" w:rsidRDefault="008A388C" w:rsidP="00565423">
      <w:r w:rsidRPr="00565423">
        <w:rPr>
          <w:b/>
        </w:rPr>
        <w:t xml:space="preserve">Diel DO and pH Swings, Hypoxia and Acidification. </w:t>
      </w:r>
      <w:r w:rsidRPr="00565423">
        <w:t xml:space="preserve">Dissolved oxygen is necessary to sustaining the life of all aquatic organisms that depend on aerobic respiration. Eutrophication produces excess organic matter that fuels the development of low surface water DO concentrations (hypoxia) as that organic matter is respired (Diaz 2001). When the supply of oxygen from the surface waters is reduced or the consumption of oxygen exceeds the resupply (via decomposition of excessive amounts of organic matter), oxygen concentrations can decline below the limit for survival and reproduction of benthic (bottom-dwelling) or pelagic (water column dwelling) organisms (Stanley and Nixon 1992, Borsuk et al. 2001, Diaz 2001). Hypoxia has several adverse effects on aquatic organisms, including: lowered growth rates, altered behavior, reduced reproductive success, and diminished survival (Diaz and Rosenberg 1995; Breitburg et al. 1997, 2009; Vaquer-Sunyer and Duarte 2008). </w:t>
      </w:r>
      <w:bookmarkStart w:id="97" w:name="_Hlk526134653"/>
      <w:r w:rsidRPr="00565423">
        <w:t>Changes in the survival and reproduction of benthic and pelagic organisms can result in habitat and biological diversity losses, foul odors and taste, and altered food webs (USEPA 2007). Consequently, management of hypoxia in aquatic habitats has become a global issue (Smith et al. 1987, Karlson et al. 2002, OSPAR 2003, Diaz and Rosenberg 2008), yet in California DO is not typically monitored using moored sensors to produce a continuous data stream that allows assessment of extent of hypoxia. Anecdotal evidence shows that hypoxia is likely extensive. For example, in hypoxic events in SCB estuaries is extensive, with at least 53%</w:t>
      </w:r>
      <w:r>
        <w:t xml:space="preserve"> of segments had at least one event </w:t>
      </w:r>
      <w:r w:rsidRPr="00565423">
        <w:t>30 longer than 24 hours (McLaughlin et al. 2014). Estuarine habitats with investments in long term monitoring show chronic and recurrent hypoxia and even anoxia, e.g.</w:t>
      </w:r>
      <w:r w:rsidR="000D219E">
        <w:t>,</w:t>
      </w:r>
      <w:r w:rsidRPr="00565423">
        <w:t xml:space="preserve"> in Tijuana River estuary </w:t>
      </w:r>
      <w:r w:rsidR="00565423" w:rsidRPr="00565423">
        <w:t>and</w:t>
      </w:r>
      <w:r w:rsidRPr="00565423">
        <w:t xml:space="preserve"> Los Penasquitos Lagoon (</w:t>
      </w:r>
      <w:r w:rsidR="00565423" w:rsidRPr="00565423">
        <w:t>McLaughlin et al. 2013</w:t>
      </w:r>
      <w:r w:rsidRPr="00565423">
        <w:t>), San Elijo Lagoon (Sutula at al. 2017), Malibu Lagoon (Sutula et al. 2006), Newport Bay (Sutula et al. 2006), Pajaro Slough, Elkhorn Slough (</w:t>
      </w:r>
      <w:r w:rsidR="00565423" w:rsidRPr="00565423">
        <w:t>Jeppesen et al. 2016</w:t>
      </w:r>
      <w:r w:rsidRPr="00565423">
        <w:t xml:space="preserve">), </w:t>
      </w:r>
      <w:r w:rsidR="00565423" w:rsidRPr="00565423">
        <w:t xml:space="preserve">and </w:t>
      </w:r>
      <w:r w:rsidRPr="00565423">
        <w:t>Suisun Marsh (Baily et al. 2014)</w:t>
      </w:r>
      <w:r w:rsidR="00565423" w:rsidRPr="00565423">
        <w:t>.</w:t>
      </w:r>
      <w:r>
        <w:t xml:space="preserve"> </w:t>
      </w:r>
    </w:p>
    <w:p w14:paraId="438B9F41" w14:textId="096710D0" w:rsidR="008A388C" w:rsidRPr="000C6122" w:rsidRDefault="008A388C" w:rsidP="00565423">
      <w:r w:rsidRPr="000C6122">
        <w:t>In California, continuous diel measurements of DO are less common in inland aquatic habitats, particularly in wadeable streams, though high diel variability in pH and DO as well as chronic low DO has been documented in river TMDLs (</w:t>
      </w:r>
      <w:r w:rsidR="00565423" w:rsidRPr="000C6122">
        <w:t>Klamath River, North Coast Water Board 2010; Santa Margarita River, Sutula et al. 2018</w:t>
      </w:r>
      <w:r w:rsidRPr="000C6122">
        <w:t xml:space="preserve">); </w:t>
      </w:r>
      <w:bookmarkEnd w:id="97"/>
      <w:r w:rsidRPr="000C6122">
        <w:t xml:space="preserve">discrete DO samples are more prevalent, leading the Central Valley Water Board to utilize discrete DO measures to estimate the maximum variability in DO associated with stream algal blooms (Worcester et al. 2010), as the basis for their Board’s interpretation of biostimulatory objectives.  Extent of hypoxia in California lakes is not well understood, because of lack of routine monitoring. </w:t>
      </w:r>
    </w:p>
    <w:p w14:paraId="5E695AC0" w14:textId="5E0621D7" w:rsidR="008A388C" w:rsidRPr="000C6122" w:rsidRDefault="008A388C" w:rsidP="00565423">
      <w:bookmarkStart w:id="98" w:name="_Hlk526134693"/>
      <w:r w:rsidRPr="000C6122">
        <w:t xml:space="preserve">Acidification is a dominant driver of long-term changes in pH in the coastal oceans and is largely attributable to anthropogenic CO2 emissions, raising concern for the future of calcifying organisms, many of which are present in estuarine habitats (Feely et al. 2008, </w:t>
      </w:r>
      <w:r w:rsidR="00565423" w:rsidRPr="000C6122">
        <w:t>Bednarsek et al. 2014, 2017</w:t>
      </w:r>
      <w:r w:rsidRPr="000C6122">
        <w:t>); however, changes in pH in freshwater and estuarine ecosystems can result from a multitude of drivers, including local pollution sources (nutrients and carbon) and altered watershed processes (Duarte et al. 2013). However, the instrumentation required to discern eutrophication-driven acidification is not routinely used in estuarine and inland water quality monitoring, despite anecdotal evidence that acidification may be strongly linked to eutrophication and therefore of concern (</w:t>
      </w:r>
      <w:r w:rsidR="00565423" w:rsidRPr="000C6122">
        <w:t xml:space="preserve">Trowbridge et al. 2017; </w:t>
      </w:r>
      <w:r w:rsidRPr="000C6122">
        <w:t>Wasson, personal communication).</w:t>
      </w:r>
    </w:p>
    <w:bookmarkEnd w:id="98"/>
    <w:p w14:paraId="0ACB654C" w14:textId="0E988537" w:rsidR="008A388C" w:rsidRPr="000C6122" w:rsidRDefault="008A388C" w:rsidP="000C6122">
      <w:r w:rsidRPr="000C6122">
        <w:rPr>
          <w:b/>
        </w:rPr>
        <w:t>Aquatic Vegetation</w:t>
      </w:r>
      <w:r w:rsidRPr="000C6122">
        <w:t>. Native submerged and floating vegetation can be beneficial components of aquatic ecosystems; however, several non-native species have been found to adversely ecosystem services and associated beneficial uses at the high densities at which they typically occur, e.g</w:t>
      </w:r>
      <w:r w:rsidR="000D219E">
        <w:t>.,</w:t>
      </w:r>
      <w:r w:rsidRPr="000C6122">
        <w:t xml:space="preserve"> in the SFB Delta (Boyer and Sutula 2017) and in other estuaries (e.g.</w:t>
      </w:r>
      <w:r w:rsidR="000D219E">
        <w:t>,</w:t>
      </w:r>
      <w:r w:rsidRPr="000C6122">
        <w:t xml:space="preserve"> Malibu Lagoon, Buena Vista Lagoon, Sutula et al. 2006. McLaughlin et al. 2012). Adverse effects include: (1) changes</w:t>
      </w:r>
      <w:r>
        <w:t xml:space="preserve"> to water chemistry, including diurnal swings in pH and dissolved oxygen, (2) changes to physical properties of water, including flow and turbidity, (3) outcompeting of native SAV, phytoplankton, and other benthic primary producers, (3) changes to the food web, (4) impedance of navigation and obstruction of water conveyance, and (5) poor aesthetics. As an example of this, two species in the Delta, the invasive species, </w:t>
      </w:r>
      <w:r w:rsidRPr="00717F19">
        <w:rPr>
          <w:i/>
        </w:rPr>
        <w:t>Egeria densa</w:t>
      </w:r>
      <w:r>
        <w:t xml:space="preserve"> (Brazilian waterweed, a submersed species) and </w:t>
      </w:r>
      <w:r w:rsidRPr="00717F19">
        <w:rPr>
          <w:i/>
        </w:rPr>
        <w:t>Eichhornia crassipes</w:t>
      </w:r>
      <w:r>
        <w:t xml:space="preserve"> (water hyacinth, a floating </w:t>
      </w:r>
      <w:r w:rsidRPr="000C6122">
        <w:t xml:space="preserve">species), are widely recognized as problematic and appear to be increasing in abundance despite control efforts. Existing scientific literature has documented several environmental and management-related factors that have control over the growth of invasive aquatic plants, including biostimulatory drivers (Boyer and Sutula 2017). Climate change and anthropogenic activity associated with land use changes have the potential to further increase the prevalence of invasive macrophytes, and thus this remains an area of increasing concern for biostimulatory impacts. </w:t>
      </w:r>
    </w:p>
    <w:p w14:paraId="37F9DD84" w14:textId="77777777" w:rsidR="008A388C" w:rsidRPr="000C6122" w:rsidRDefault="008A388C" w:rsidP="008A388C">
      <w:pPr>
        <w:pStyle w:val="Heading2"/>
      </w:pPr>
      <w:bookmarkStart w:id="99" w:name="_Toc525589901"/>
      <w:bookmarkStart w:id="100" w:name="_Toc525595053"/>
      <w:bookmarkStart w:id="101" w:name="_Toc526196690"/>
      <w:r w:rsidRPr="000C6122">
        <w:t>2.5 Biostimulatory Substances and Conditions</w:t>
      </w:r>
      <w:bookmarkEnd w:id="99"/>
      <w:bookmarkEnd w:id="100"/>
      <w:bookmarkEnd w:id="101"/>
    </w:p>
    <w:p w14:paraId="471645AA" w14:textId="69ABC0DB" w:rsidR="000C6122" w:rsidRDefault="008A388C" w:rsidP="000C6122">
      <w:r w:rsidRPr="000C6122">
        <w:t>Biostimulatory drivers of eutrophication consist of nutrient pollution (including forms of nitrogen and phosphorus and associated organic matter) and other conditions that can cause or significantly contribute to eutrophication. Like nutrient pollution, these factors, such as hydromodification, physical habitat alteration, altered water temperature, and light availability, and grazing pressure are associated with conversion of watersheds and coastal zones to developed land uses (Figure 2.</w:t>
      </w:r>
      <w:r w:rsidR="0030768D">
        <w:t>10</w:t>
      </w:r>
      <w:r w:rsidRPr="000C6122">
        <w:t>). Climatic change, specifically global warming, increased water column vertical stratification, and heightened frequency and intensity of drought and storm events can exacerbate these biostimulatory conditions, thus modulating eutrophication (Paerl et al. 2011).</w:t>
      </w:r>
    </w:p>
    <w:p w14:paraId="4ECAD128" w14:textId="444CADAB" w:rsidR="002333B2" w:rsidRDefault="002333B2" w:rsidP="002333B2">
      <w:pPr>
        <w:rPr>
          <w:u w:val="single"/>
        </w:rPr>
      </w:pPr>
      <w:r w:rsidRPr="000C6122">
        <w:t>Harmful algal blooms (HABs) in freshwater systems (rivers and lakes), particularly cyanobacteria, tend to become limited by P sooner than by N, and thus are frequently linked with excessive P loading (Likens 1972, Schindler 1977, Edmondson and Lehman 1981, Elmgren and Larsson 2001, Paerl 2008, Schindler et al. 2008). In contrast with freshwater systems, estuarine and marine systems tend to be more sensitive to N loading (Ryther and Dunstan 1971, Nixon 1986, Suikkanen et al. 2007, Paerl 2008, Conley et al. 2009, Ahn et al. 2011).  Traditionally, phosphorus (P) input reductions have been prescribed to control freshwater algal blooms, because P limitation is widespread and some CyanoHABs can fix atmospheric nitrogen N</w:t>
      </w:r>
      <w:r w:rsidRPr="000C6122">
        <w:rPr>
          <w:vertAlign w:val="subscript"/>
        </w:rPr>
        <w:t>2</w:t>
      </w:r>
      <w:r w:rsidRPr="000C6122">
        <w:t xml:space="preserve"> to satisfy their N requirements. However, eutrophic systems are increasingly plagued with non N</w:t>
      </w:r>
      <w:r w:rsidRPr="000C6122">
        <w:rPr>
          <w:vertAlign w:val="subscript"/>
        </w:rPr>
        <w:t>2</w:t>
      </w:r>
      <w:r w:rsidRPr="000C6122">
        <w:t xml:space="preserve"> fixing CyanoHABs that are N and P co-limited or even N limited. Moreover, both non-point and point source nutrient contributions, such as agriculture and wastewater effluent, tend to increase N and P concentrations simultaneously (Paerl and Paul 2012, Paerl et al. 2014b).  At low and intermediate nutrient loadings, reduction in only N or P may be sufficient to control blooms. But with elevated loadings of both N and P, reduction of only one type of nutrient can lead to an imbalance in the N:P ratio of the water column potentially leading to a worsening of HAB problems (Smith 1983; Paerl </w:t>
      </w:r>
      <w:r>
        <w:t xml:space="preserve">and Huisman </w:t>
      </w:r>
      <w:r w:rsidRPr="000C6122">
        <w:t xml:space="preserve">2008; Pearl et al. 2011, 2014b). </w:t>
      </w:r>
      <w:r w:rsidRPr="00C030E9">
        <w:t>Therefore, N and P input constraints are likely needed for long-term eutrophication control in such systems (Paerl et al. 2011).</w:t>
      </w:r>
    </w:p>
    <w:p w14:paraId="07B3E0AE" w14:textId="55C6BCFA" w:rsidR="008A388C" w:rsidRDefault="002333B2" w:rsidP="002333B2">
      <w:pPr>
        <w:sectPr w:rsidR="008A388C">
          <w:type w:val="continuous"/>
          <w:pgSz w:w="12240" w:h="15840"/>
          <w:pgMar w:top="1440" w:right="1440" w:bottom="1440" w:left="1440" w:header="0" w:footer="0" w:gutter="0"/>
          <w:cols w:space="720"/>
        </w:sectPr>
      </w:pPr>
      <w:r>
        <w:t>Sources of nutrient pollution released to freshwater and coastal areas are diverse, and include agriculture, animal husbandry, aquaculture, septic tanks, urban wastewater, urban stormwater runoff, industry, and fossil fuel combustion. Nutrients enter aquatic ecosystems via the air, surface water, or groundwater (Figure 2.11). Among regions and from watershed to watershed, there are signiﬁcant variations in the relative importance of nutrient sources and pathways that contribute to eutrophication of local and coastal waterbodies</w:t>
      </w:r>
    </w:p>
    <w:p w14:paraId="1ABF30E1" w14:textId="77777777" w:rsidR="008A388C" w:rsidRDefault="008A388C" w:rsidP="008A388C">
      <w:pPr>
        <w:ind w:firstLine="720"/>
      </w:pPr>
    </w:p>
    <w:p w14:paraId="33C2EE06" w14:textId="77777777" w:rsidR="008A388C" w:rsidRDefault="008A388C" w:rsidP="008A388C">
      <w:r>
        <w:rPr>
          <w:noProof/>
          <w:lang w:eastAsia="zh-CN" w:bidi="ar-SA"/>
        </w:rPr>
        <w:drawing>
          <wp:inline distT="0" distB="0" distL="0" distR="0" wp14:anchorId="6FDBD3A1" wp14:editId="0532DD4A">
            <wp:extent cx="6230444" cy="3822700"/>
            <wp:effectExtent l="0" t="0" r="0" b="6350"/>
            <wp:docPr id="16"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54"/>
                    <a:srcRect/>
                    <a:stretch>
                      <a:fillRect/>
                    </a:stretch>
                  </pic:blipFill>
                  <pic:spPr>
                    <a:xfrm>
                      <a:off x="0" y="0"/>
                      <a:ext cx="6247052" cy="3832890"/>
                    </a:xfrm>
                    <a:prstGeom prst="rect">
                      <a:avLst/>
                    </a:prstGeom>
                    <a:ln/>
                  </pic:spPr>
                </pic:pic>
              </a:graphicData>
            </a:graphic>
          </wp:inline>
        </w:drawing>
      </w:r>
    </w:p>
    <w:p w14:paraId="58321E31" w14:textId="6215D354" w:rsidR="008A388C" w:rsidRPr="000C0514" w:rsidRDefault="008A388C" w:rsidP="000C0514">
      <w:pPr>
        <w:pStyle w:val="TOF"/>
        <w:rPr>
          <w:rFonts w:eastAsia="Arial"/>
        </w:rPr>
      </w:pPr>
      <w:bookmarkStart w:id="102" w:name="_Toc526197083"/>
      <w:r w:rsidRPr="000C0514">
        <w:rPr>
          <w:rFonts w:eastAsia="Arial"/>
        </w:rPr>
        <w:t>Figure 2.</w:t>
      </w:r>
      <w:r w:rsidR="0030768D">
        <w:rPr>
          <w:rFonts w:eastAsia="Arial"/>
        </w:rPr>
        <w:t>10</w:t>
      </w:r>
      <w:r w:rsidRPr="000C0514">
        <w:rPr>
          <w:rFonts w:eastAsia="Arial"/>
        </w:rPr>
        <w:t xml:space="preserve">. Conceptual model of some of the co-factors affecting algal blooms including warmer water, drought and decreased flow, decreased mixing, increased residence time, and increased N and P inputs from agricultural, industrial and urban sources. From </w:t>
      </w:r>
      <w:r w:rsidRPr="00BB2999">
        <w:rPr>
          <w:rFonts w:eastAsia="Arial"/>
        </w:rPr>
        <w:t>Paerl et al. 2011.</w:t>
      </w:r>
      <w:bookmarkEnd w:id="102"/>
    </w:p>
    <w:p w14:paraId="15BD189E" w14:textId="77777777" w:rsidR="008A388C" w:rsidRDefault="008A388C" w:rsidP="008A388C">
      <w:pPr>
        <w:pBdr>
          <w:top w:val="nil"/>
          <w:left w:val="nil"/>
          <w:bottom w:val="nil"/>
          <w:right w:val="nil"/>
          <w:between w:val="nil"/>
        </w:pBdr>
        <w:tabs>
          <w:tab w:val="right" w:pos="9350"/>
        </w:tabs>
        <w:spacing w:after="100" w:line="240" w:lineRule="auto"/>
        <w:rPr>
          <w:rFonts w:ascii="Arial" w:eastAsia="Arial" w:hAnsi="Arial" w:cs="Arial"/>
          <w:i/>
          <w:color w:val="000000"/>
          <w:sz w:val="20"/>
          <w:szCs w:val="20"/>
        </w:rPr>
        <w:sectPr w:rsidR="008A388C" w:rsidSect="00797664">
          <w:pgSz w:w="15840" w:h="12240" w:orient="landscape"/>
          <w:pgMar w:top="1440" w:right="1440" w:bottom="1440" w:left="1440" w:header="0" w:footer="0" w:gutter="0"/>
          <w:cols w:space="720"/>
          <w:docGrid w:linePitch="299"/>
        </w:sectPr>
      </w:pPr>
    </w:p>
    <w:p w14:paraId="69A44255" w14:textId="77777777" w:rsidR="000C6122" w:rsidRDefault="000C6122" w:rsidP="000C6122"/>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30"/>
        <w:gridCol w:w="3059"/>
        <w:gridCol w:w="3271"/>
      </w:tblGrid>
      <w:tr w:rsidR="00370312" w14:paraId="78F79624" w14:textId="77777777" w:rsidTr="00CF34B9">
        <w:tc>
          <w:tcPr>
            <w:tcW w:w="3116" w:type="dxa"/>
          </w:tcPr>
          <w:p w14:paraId="5FE99D63" w14:textId="2FBA1FAC" w:rsidR="00C34E7F" w:rsidRDefault="002E19E8" w:rsidP="007245F5">
            <w:r>
              <w:rPr>
                <w:noProof/>
                <w:lang w:eastAsia="zh-CN" w:bidi="ar-SA"/>
              </w:rPr>
              <w:drawing>
                <wp:inline distT="0" distB="0" distL="0" distR="0" wp14:anchorId="1CC6FA37" wp14:editId="16810B9D">
                  <wp:extent cx="1780135" cy="1828165"/>
                  <wp:effectExtent l="0" t="0" r="0" b="635"/>
                  <wp:docPr id="1060" name="Picture 1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t="13402" r="49839" b="14234"/>
                          <a:stretch/>
                        </pic:blipFill>
                        <pic:spPr bwMode="auto">
                          <a:xfrm rot="10800000">
                            <a:off x="0" y="0"/>
                            <a:ext cx="1786526" cy="183472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117" w:type="dxa"/>
          </w:tcPr>
          <w:p w14:paraId="2047CF0F" w14:textId="77777777" w:rsidR="00C34E7F" w:rsidRDefault="00C34E7F" w:rsidP="007245F5">
            <w:r w:rsidRPr="003A0B96">
              <w:rPr>
                <w:noProof/>
                <w:lang w:eastAsia="zh-CN" w:bidi="ar-SA"/>
              </w:rPr>
              <w:drawing>
                <wp:inline distT="0" distB="0" distL="0" distR="0" wp14:anchorId="48C7DDAC" wp14:editId="368FFE28">
                  <wp:extent cx="1838439" cy="1828800"/>
                  <wp:effectExtent l="0" t="0" r="9525" b="0"/>
                  <wp:docPr id="1030" name="Picture 3">
                    <a:extLst xmlns:a="http://schemas.openxmlformats.org/drawingml/2006/main">
                      <a:ext uri="{FF2B5EF4-FFF2-40B4-BE49-F238E27FC236}">
                        <a16:creationId xmlns:a16="http://schemas.microsoft.com/office/drawing/2014/main" id="{DDAE50AE-040C-4B4B-8EE1-5EC4DB44BA0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DDAE50AE-040C-4B4B-8EE1-5EC4DB44BA01}"/>
                              </a:ext>
                            </a:extLst>
                          </pic:cNvPr>
                          <pic:cNvPicPr>
                            <a:picLocks noChangeAspect="1"/>
                          </pic:cNvPicPr>
                        </pic:nvPicPr>
                        <pic:blipFill rotWithShape="1">
                          <a:blip r:embed="rId56">
                            <a:extLst>
                              <a:ext uri="{28A0092B-C50C-407E-A947-70E740481C1C}">
                                <a14:useLocalDpi xmlns:a14="http://schemas.microsoft.com/office/drawing/2010/main" val="0"/>
                              </a:ext>
                            </a:extLst>
                          </a:blip>
                          <a:srcRect r="24605"/>
                          <a:stretch/>
                        </pic:blipFill>
                        <pic:spPr>
                          <a:xfrm>
                            <a:off x="0" y="0"/>
                            <a:ext cx="1838439" cy="1828800"/>
                          </a:xfrm>
                          <a:prstGeom prst="rect">
                            <a:avLst/>
                          </a:prstGeom>
                        </pic:spPr>
                      </pic:pic>
                    </a:graphicData>
                  </a:graphic>
                </wp:inline>
              </w:drawing>
            </w:r>
          </w:p>
        </w:tc>
        <w:tc>
          <w:tcPr>
            <w:tcW w:w="3117" w:type="dxa"/>
          </w:tcPr>
          <w:p w14:paraId="7DDF4218" w14:textId="3496D91F" w:rsidR="00C34E7F" w:rsidRDefault="00370312" w:rsidP="007245F5">
            <w:r>
              <w:rPr>
                <w:noProof/>
                <w:lang w:eastAsia="zh-CN" w:bidi="ar-SA"/>
              </w:rPr>
              <w:drawing>
                <wp:inline distT="0" distB="0" distL="0" distR="0" wp14:anchorId="4A4942F1" wp14:editId="00496174">
                  <wp:extent cx="1952625" cy="1885785"/>
                  <wp:effectExtent l="0" t="0" r="0" b="635"/>
                  <wp:docPr id="1064" name="Picture 1064" descr="Image result for la freeways during a rainsto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Image result for la freeways during a rainstorm"/>
                          <pic:cNvPicPr>
                            <a:picLocks noChangeAspect="1" noChangeArrowheads="1"/>
                          </pic:cNvPicPr>
                        </pic:nvPicPr>
                        <pic:blipFill rotWithShape="1">
                          <a:blip r:embed="rId57">
                            <a:extLst>
                              <a:ext uri="{28A0092B-C50C-407E-A947-70E740481C1C}">
                                <a14:useLocalDpi xmlns:a14="http://schemas.microsoft.com/office/drawing/2010/main" val="0"/>
                              </a:ext>
                            </a:extLst>
                          </a:blip>
                          <a:srcRect r="38708"/>
                          <a:stretch/>
                        </pic:blipFill>
                        <pic:spPr bwMode="auto">
                          <a:xfrm>
                            <a:off x="0" y="0"/>
                            <a:ext cx="1954054" cy="188716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370312" w14:paraId="03F36C89" w14:textId="77777777" w:rsidTr="00CF34B9">
        <w:tc>
          <w:tcPr>
            <w:tcW w:w="3116" w:type="dxa"/>
          </w:tcPr>
          <w:p w14:paraId="4D47D3FF" w14:textId="31B5AAC0" w:rsidR="00C34E7F" w:rsidRDefault="00370312" w:rsidP="007245F5">
            <w:r>
              <w:rPr>
                <w:noProof/>
                <w:lang w:eastAsia="zh-CN" w:bidi="ar-SA"/>
              </w:rPr>
              <w:drawing>
                <wp:inline distT="0" distB="0" distL="0" distR="0" wp14:anchorId="216449EA" wp14:editId="5BDFBC93">
                  <wp:extent cx="1828800" cy="1816735"/>
                  <wp:effectExtent l="0" t="0" r="0" b="0"/>
                  <wp:docPr id="1065" name="Picture 1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l="25455" r="4726"/>
                          <a:stretch/>
                        </pic:blipFill>
                        <pic:spPr bwMode="auto">
                          <a:xfrm>
                            <a:off x="0" y="0"/>
                            <a:ext cx="1828800" cy="1816735"/>
                          </a:xfrm>
                          <a:prstGeom prst="rect">
                            <a:avLst/>
                          </a:prstGeom>
                          <a:ln>
                            <a:noFill/>
                          </a:ln>
                          <a:extLst>
                            <a:ext uri="{53640926-AAD7-44D8-BBD7-CCE9431645EC}">
                              <a14:shadowObscured xmlns:a14="http://schemas.microsoft.com/office/drawing/2010/main"/>
                            </a:ext>
                          </a:extLst>
                        </pic:spPr>
                      </pic:pic>
                    </a:graphicData>
                  </a:graphic>
                </wp:inline>
              </w:drawing>
            </w:r>
          </w:p>
        </w:tc>
        <w:tc>
          <w:tcPr>
            <w:tcW w:w="3117" w:type="dxa"/>
          </w:tcPr>
          <w:p w14:paraId="579CAD49" w14:textId="77777777" w:rsidR="00C34E7F" w:rsidRDefault="00C34E7F" w:rsidP="007245F5">
            <w:r w:rsidRPr="003A0B96">
              <w:rPr>
                <w:noProof/>
                <w:lang w:eastAsia="zh-CN" w:bidi="ar-SA"/>
              </w:rPr>
              <w:drawing>
                <wp:inline distT="0" distB="0" distL="0" distR="0" wp14:anchorId="586692D5" wp14:editId="1CB9B038">
                  <wp:extent cx="1838325" cy="1816735"/>
                  <wp:effectExtent l="0" t="0" r="9525" b="0"/>
                  <wp:docPr id="1027" name="Picture 5">
                    <a:extLst xmlns:a="http://schemas.openxmlformats.org/drawingml/2006/main">
                      <a:ext uri="{FF2B5EF4-FFF2-40B4-BE49-F238E27FC236}">
                        <a16:creationId xmlns:a16="http://schemas.microsoft.com/office/drawing/2014/main" id="{D1D11624-D49C-4F5E-B1F2-3463E333C44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D1D11624-D49C-4F5E-B1F2-3463E333C44F}"/>
                              </a:ext>
                            </a:extLst>
                          </pic:cNvPr>
                          <pic:cNvPicPr>
                            <a:picLocks noChangeAspect="1"/>
                          </pic:cNvPicPr>
                        </pic:nvPicPr>
                        <pic:blipFill rotWithShape="1">
                          <a:blip r:embed="rId59">
                            <a:extLst>
                              <a:ext uri="{28A0092B-C50C-407E-A947-70E740481C1C}">
                                <a14:useLocalDpi xmlns:a14="http://schemas.microsoft.com/office/drawing/2010/main" val="0"/>
                              </a:ext>
                            </a:extLst>
                          </a:blip>
                          <a:srcRect r="27956"/>
                          <a:stretch/>
                        </pic:blipFill>
                        <pic:spPr>
                          <a:xfrm>
                            <a:off x="0" y="0"/>
                            <a:ext cx="1838439" cy="1816848"/>
                          </a:xfrm>
                          <a:prstGeom prst="rect">
                            <a:avLst/>
                          </a:prstGeom>
                        </pic:spPr>
                      </pic:pic>
                    </a:graphicData>
                  </a:graphic>
                </wp:inline>
              </w:drawing>
            </w:r>
          </w:p>
        </w:tc>
        <w:tc>
          <w:tcPr>
            <w:tcW w:w="3117" w:type="dxa"/>
          </w:tcPr>
          <w:p w14:paraId="30B0A695" w14:textId="7EA12C68" w:rsidR="00C34E7F" w:rsidRDefault="008E1BFF" w:rsidP="007245F5">
            <w:r>
              <w:rPr>
                <w:noProof/>
                <w:lang w:eastAsia="zh-CN" w:bidi="ar-SA"/>
              </w:rPr>
              <w:drawing>
                <wp:inline distT="0" distB="0" distL="0" distR="0" wp14:anchorId="1CBDD6DF" wp14:editId="317EA3DC">
                  <wp:extent cx="1985962" cy="1817111"/>
                  <wp:effectExtent l="0" t="0" r="0" b="0"/>
                  <wp:docPr id="1063" name="Picture 1063" descr="Kennedy Jenks Wastewater Treatment Pl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Kennedy Jenks Wastewater Treatment Plant"/>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l="26367"/>
                          <a:stretch/>
                        </pic:blipFill>
                        <pic:spPr bwMode="auto">
                          <a:xfrm>
                            <a:off x="0" y="0"/>
                            <a:ext cx="1993909" cy="1824383"/>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24DB2BDD" w14:textId="47C00D71" w:rsidR="00BA5A02" w:rsidRDefault="00C34E7F" w:rsidP="00C34E7F">
      <w:pPr>
        <w:pStyle w:val="TOF"/>
      </w:pPr>
      <w:bookmarkStart w:id="103" w:name="_Toc526197084"/>
      <w:r>
        <w:t xml:space="preserve">Figure </w:t>
      </w:r>
      <w:r w:rsidR="008E5A7B">
        <w:t>2.1</w:t>
      </w:r>
      <w:r w:rsidR="0030768D">
        <w:t>1</w:t>
      </w:r>
      <w:r>
        <w:t>. Source of nutrients to</w:t>
      </w:r>
      <w:r w:rsidR="00370312">
        <w:t xml:space="preserve"> rivers, streams, and estuaries, clockwise from top left: discharge from an ag tile drainage in Central Coast</w:t>
      </w:r>
      <w:r>
        <w:t>, stormwater runoff and other runoff in storm drains</w:t>
      </w:r>
      <w:r w:rsidR="00370312">
        <w:t xml:space="preserve"> and transporation sources</w:t>
      </w:r>
      <w:r>
        <w:t xml:space="preserve"> (top middle</w:t>
      </w:r>
      <w:r w:rsidR="00370312">
        <w:t xml:space="preserve"> and right</w:t>
      </w:r>
      <w:r>
        <w:t xml:space="preserve">), </w:t>
      </w:r>
      <w:r w:rsidR="00370312">
        <w:t>wastewater treatment plant (bottom right</w:t>
      </w:r>
      <w:r>
        <w:t xml:space="preserve">), agriculture/animal husbandry (bottom middle), and </w:t>
      </w:r>
      <w:r w:rsidR="00370312">
        <w:t>fire plume causing atmospheric deposition</w:t>
      </w:r>
      <w:r>
        <w:t xml:space="preserve"> (Photo sources: Wikimedia commons, City of Riverside, epa.gov, sewerhistory.org).</w:t>
      </w:r>
      <w:bookmarkEnd w:id="103"/>
    </w:p>
    <w:p w14:paraId="47496424" w14:textId="77777777" w:rsidR="00C34E7F" w:rsidRDefault="00C34E7F" w:rsidP="00C34E7F">
      <w:pPr>
        <w:pStyle w:val="TOF"/>
      </w:pPr>
    </w:p>
    <w:p w14:paraId="1507C32A" w14:textId="0C3B4E4C" w:rsidR="008A388C" w:rsidRDefault="008A388C" w:rsidP="008A388C">
      <w:pPr>
        <w:ind w:firstLine="720"/>
      </w:pPr>
      <w:r>
        <w:t>At a statewide scale, the USGS SPARROW models for California (</w:t>
      </w:r>
      <w:r w:rsidRPr="00BB2999">
        <w:t>Saleh and Domagalski 2015, Domagalski and Saleh 2015</w:t>
      </w:r>
      <w:r>
        <w:t>) provides loading estimates for both nitrogen and phosphorus from mostly HUC6 watersheds (Fig 2.</w:t>
      </w:r>
      <w:r w:rsidR="0030768D">
        <w:t>12</w:t>
      </w:r>
      <w:r>
        <w:t>).  Manure and synthetic fertilizers associated with agriculture contributes 51.7% of the TN and 38.4% of TP on a mass basis to surface waters.  Most of agricultural loadings are from three basins</w:t>
      </w:r>
      <w:r w:rsidR="000D219E">
        <w:t xml:space="preserve">: </w:t>
      </w:r>
      <w:r>
        <w:t xml:space="preserve"> the Sacramento River, San Joaquin River and Tulare-Buena Vista Basins.  These three basins account for 79% of agricultural phosphorus loads statewide?  There is also significant agriculture and loading? in the Salinas Valley and the Imperial Valley. Within other regions, ag-dominated land uses within individual watersheds can provide significant sources of nutrient to fuel eutrophication (e.g.</w:t>
      </w:r>
      <w:r w:rsidR="00AA04C7">
        <w:t>,</w:t>
      </w:r>
      <w:r>
        <w:t xml:space="preserve"> Santa Margarita River in San Diego County, </w:t>
      </w:r>
      <w:r w:rsidRPr="009D1C48">
        <w:t>Sutula et al. 2014</w:t>
      </w:r>
      <w:r>
        <w:t>). Nutrient pollution in these areas not only lead to surface water eutrophication symptoms, they also lead to groundwater contamination, resulting in impairment or restrictions on drinking water use</w:t>
      </w:r>
      <w:r w:rsidR="006C2B66">
        <w:t xml:space="preserve"> (</w:t>
      </w:r>
      <w:r w:rsidR="006C2B66" w:rsidRPr="00F67E8C">
        <w:rPr>
          <w:highlight w:val="cyan"/>
        </w:rPr>
        <w:t xml:space="preserve">Harter et al. </w:t>
      </w:r>
      <w:r w:rsidR="00FC6E7A" w:rsidRPr="00F67E8C">
        <w:rPr>
          <w:highlight w:val="cyan"/>
        </w:rPr>
        <w:t>2012</w:t>
      </w:r>
      <w:r w:rsidR="00FC6E7A">
        <w:t>)</w:t>
      </w:r>
      <w:r>
        <w:t xml:space="preserve">. For example, the Tulare Basin is an agricultural area that receives roughly 176 Gg of fertilizer and 127 Gg of manure for land application each year. As it is a closed basin, the nitrogen that is not used for plant uptake ends up in groundwater.  </w:t>
      </w:r>
      <w:r w:rsidR="00FC6E7A">
        <w:t xml:space="preserve">As a result, one outcome is that safe drinking water sources are being provided to the populations living in these basins, at significant economic cost. </w:t>
      </w:r>
      <w:r>
        <w:t xml:space="preserve">The prevention of future nitrate contamination has become a focus of the State Board’s regulatory programs for irrigated lands and for dairies to regulate nitrate loadings. </w:t>
      </w:r>
    </w:p>
    <w:p w14:paraId="65D6D20F" w14:textId="3BB56609" w:rsidR="008A388C" w:rsidRDefault="009D1C48" w:rsidP="009D1C48">
      <w:bookmarkStart w:id="104" w:name="_Hlk526134795"/>
      <w:r w:rsidRPr="009D1C48">
        <w:t>Other major sources of nutrients in CA are the publicly owned treatment works (POTWs) that treat the municipal sewage (Salah and Domagalski 2015). The SPARROW models estimate that 15.9% of nitrogen and 23% of phosphorus in surface waters is from wastewater.   Sewage loadings across the region are a function of population density.  The largest loads are from Southern California, followed by San Francisco Bay Area and the greater Sacramento area.  For perspective, roughly 48 Gg N/yr are discharged by ocean dischargers in Southern California (Howard et al. 2014).  This does not include inland POTW discharges in this area which contribute loads via river runoff, e.g.</w:t>
      </w:r>
      <w:r w:rsidR="00AA04C7">
        <w:t>,</w:t>
      </w:r>
      <w:r w:rsidRPr="009D1C48">
        <w:t xml:space="preserve"> Los Angeles County’s inland plants, City of Los Angeles’s Tillman and Glendale plants or the City of Burbank’s plant which together contribute another 6.1 Gg N/yr. San Francisco Bay POTWs discharge around 20.6 Gg N/yr (Viers et al. 2012).  Sacramento Regional POTW discharges around 4.7 Gg N/yr (Howard et al. 2014). POTW discharges in the rest of the Central Valley discharge 0.34 Gg N/yr (EPA Permits Database).   These high nutrient loadings to these surface waters have the potential to impact beneficial uses.  Smaller wastewater discharges may also cause problems in rivers where there is insufficient dilution accommodate additional nutrient loadings.</w:t>
      </w:r>
      <w:r>
        <w:t xml:space="preserve"> </w:t>
      </w:r>
      <w:r w:rsidR="008A388C">
        <w:t xml:space="preserve"> </w:t>
      </w:r>
    </w:p>
    <w:bookmarkEnd w:id="104"/>
    <w:p w14:paraId="34E98CE4" w14:textId="77777777" w:rsidR="00C34E7F" w:rsidRDefault="00C34E7F" w:rsidP="008A388C">
      <w:pPr>
        <w:pBdr>
          <w:top w:val="nil"/>
          <w:left w:val="nil"/>
          <w:bottom w:val="nil"/>
          <w:right w:val="nil"/>
          <w:between w:val="nil"/>
        </w:pBdr>
        <w:spacing w:after="0" w:line="240" w:lineRule="auto"/>
        <w:rPr>
          <w:rFonts w:ascii="Times New Roman" w:hAnsi="Times New Roman"/>
          <w:color w:val="000000"/>
          <w:sz w:val="24"/>
          <w:szCs w:val="24"/>
        </w:rPr>
      </w:pPr>
    </w:p>
    <w:p w14:paraId="7D45854D" w14:textId="256F2BA1" w:rsidR="008A388C" w:rsidRDefault="008A388C" w:rsidP="008A388C">
      <w:pPr>
        <w:pBdr>
          <w:top w:val="nil"/>
          <w:left w:val="nil"/>
          <w:bottom w:val="nil"/>
          <w:right w:val="nil"/>
          <w:between w:val="nil"/>
        </w:pBdr>
        <w:spacing w:after="0" w:line="240" w:lineRule="auto"/>
        <w:rPr>
          <w:rFonts w:ascii="Times New Roman" w:hAnsi="Times New Roman"/>
          <w:color w:val="000000"/>
          <w:sz w:val="24"/>
          <w:szCs w:val="24"/>
        </w:rPr>
      </w:pPr>
      <w:r>
        <w:rPr>
          <w:rFonts w:ascii="Times New Roman" w:hAnsi="Times New Roman"/>
          <w:noProof/>
          <w:color w:val="000000"/>
          <w:sz w:val="24"/>
          <w:szCs w:val="24"/>
          <w:lang w:eastAsia="zh-CN" w:bidi="ar-SA"/>
        </w:rPr>
        <w:drawing>
          <wp:inline distT="0" distB="0" distL="0" distR="0" wp14:anchorId="0306429B" wp14:editId="2235F666">
            <wp:extent cx="2719070" cy="2804160"/>
            <wp:effectExtent l="0" t="0" r="0" b="0"/>
            <wp:docPr id="17"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61"/>
                    <a:srcRect/>
                    <a:stretch>
                      <a:fillRect/>
                    </a:stretch>
                  </pic:blipFill>
                  <pic:spPr>
                    <a:xfrm>
                      <a:off x="0" y="0"/>
                      <a:ext cx="2719070" cy="2804160"/>
                    </a:xfrm>
                    <a:prstGeom prst="rect">
                      <a:avLst/>
                    </a:prstGeom>
                    <a:ln/>
                  </pic:spPr>
                </pic:pic>
              </a:graphicData>
            </a:graphic>
          </wp:inline>
        </w:drawing>
      </w:r>
      <w:r>
        <w:rPr>
          <w:rFonts w:ascii="Times New Roman" w:hAnsi="Times New Roman"/>
          <w:b/>
          <w:noProof/>
          <w:color w:val="000000"/>
          <w:sz w:val="20"/>
          <w:szCs w:val="20"/>
          <w:lang w:eastAsia="zh-CN" w:bidi="ar-SA"/>
        </w:rPr>
        <w:drawing>
          <wp:inline distT="0" distB="0" distL="0" distR="0" wp14:anchorId="0B3A627B" wp14:editId="59E0AE5F">
            <wp:extent cx="2509520" cy="2751455"/>
            <wp:effectExtent l="0" t="0" r="0" b="0"/>
            <wp:docPr id="18"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62"/>
                    <a:srcRect/>
                    <a:stretch>
                      <a:fillRect/>
                    </a:stretch>
                  </pic:blipFill>
                  <pic:spPr>
                    <a:xfrm>
                      <a:off x="0" y="0"/>
                      <a:ext cx="2509520" cy="2751455"/>
                    </a:xfrm>
                    <a:prstGeom prst="rect">
                      <a:avLst/>
                    </a:prstGeom>
                    <a:ln/>
                  </pic:spPr>
                </pic:pic>
              </a:graphicData>
            </a:graphic>
          </wp:inline>
        </w:drawing>
      </w:r>
    </w:p>
    <w:p w14:paraId="6F17E4D7" w14:textId="1D5A97BC" w:rsidR="008A388C" w:rsidRDefault="008A388C" w:rsidP="000C0514">
      <w:pPr>
        <w:pStyle w:val="TOF"/>
        <w:rPr>
          <w:rFonts w:eastAsia="Arial"/>
        </w:rPr>
      </w:pPr>
      <w:bookmarkStart w:id="105" w:name="_Toc526197085"/>
      <w:r>
        <w:rPr>
          <w:rFonts w:eastAsia="Arial"/>
        </w:rPr>
        <w:t>Figure 2.</w:t>
      </w:r>
      <w:r w:rsidR="008E5A7B">
        <w:rPr>
          <w:rFonts w:eastAsia="Arial"/>
        </w:rPr>
        <w:t>12</w:t>
      </w:r>
      <w:r>
        <w:rPr>
          <w:rFonts w:eastAsia="Arial"/>
        </w:rPr>
        <w:t xml:space="preserve">.   Results from USGS SPARROW model for California.  Left panel is from </w:t>
      </w:r>
      <w:r w:rsidRPr="00BB2999">
        <w:rPr>
          <w:rFonts w:eastAsia="Arial"/>
        </w:rPr>
        <w:t>Saleh and Domagalski (2015)</w:t>
      </w:r>
      <w:r>
        <w:rPr>
          <w:rFonts w:eastAsia="Arial"/>
        </w:rPr>
        <w:t xml:space="preserve">, while right panel is </w:t>
      </w:r>
      <w:r w:rsidRPr="00BB2999">
        <w:rPr>
          <w:rFonts w:eastAsia="Arial"/>
        </w:rPr>
        <w:t>from Domagalski and Saleh (2015</w:t>
      </w:r>
      <w:r>
        <w:rPr>
          <w:rFonts w:eastAsia="Arial"/>
        </w:rPr>
        <w:t>). Yield is the amount of N or P per unit area of land per year. (Kg/m2/yr).</w:t>
      </w:r>
      <w:bookmarkEnd w:id="105"/>
    </w:p>
    <w:p w14:paraId="02B2EE57" w14:textId="77777777" w:rsidR="008A388C" w:rsidRDefault="008A388C" w:rsidP="008A388C">
      <w:pPr>
        <w:pStyle w:val="Heading3"/>
      </w:pPr>
      <w:bookmarkStart w:id="106" w:name="_Toc525589903"/>
      <w:bookmarkStart w:id="107" w:name="_Toc525595055"/>
      <w:bookmarkStart w:id="108" w:name="_Toc526196691"/>
      <w:r>
        <w:t>2.5.2</w:t>
      </w:r>
      <w:r>
        <w:tab/>
        <w:t>Irradiance, Water Clarity, and Temperature</w:t>
      </w:r>
      <w:bookmarkEnd w:id="106"/>
      <w:bookmarkEnd w:id="107"/>
      <w:bookmarkEnd w:id="108"/>
    </w:p>
    <w:p w14:paraId="256E382E" w14:textId="7F75D824" w:rsidR="008A388C" w:rsidRDefault="008A388C" w:rsidP="008A388C">
      <w:pPr>
        <w:ind w:firstLine="720"/>
      </w:pPr>
      <w:r>
        <w:t>Solar radiation is of fundamental importance of all aquatic ecosystems. Irradiance is central to metabolism and photosynthesis, and thus plays an important role in the growth, diversity and density of algae and aquatic plants, as algal and aquatic plants species have an optimal range of irradiance. In addition, the absorption of thermal energy and the dissipation of heat have profound effects on thermal structure, water mass stratification, and circulation patterns.  Changes in radiant energy, e.g, from physical habitat alteration (e.g.</w:t>
      </w:r>
      <w:r w:rsidR="00AA04C7">
        <w:t>,</w:t>
      </w:r>
      <w:r>
        <w:t xml:space="preserve"> engineered channels, removal of riparian habitat, hydromodification), natural events (fires and floods), and climate change can impact the composition and relative abundance of primary producers, which compete for light and space. </w:t>
      </w:r>
      <w:bookmarkStart w:id="109" w:name="_Hlk526134853"/>
      <w:r>
        <w:t>As an example of this, submerged macrophytes occurs in many shallow water bodies with increasing eutrophication, due to reduced water clarity from algal blooms (</w:t>
      </w:r>
      <w:r w:rsidRPr="00361B95">
        <w:rPr>
          <w:highlight w:val="yellow"/>
        </w:rPr>
        <w:t>REF</w:t>
      </w:r>
      <w:r>
        <w:t>).</w:t>
      </w:r>
      <w:bookmarkEnd w:id="109"/>
      <w:r>
        <w:t xml:space="preserve"> Cyanobacteria such as Microcystis, can grow very close to the surface by tolerating irradiance levels that are inhibitory to other members of the phytoplankton community, increasing their cell densities past the point where they would ordinarily become light-limited by self-shading </w:t>
      </w:r>
      <w:r w:rsidRPr="00BB2999">
        <w:t>(Carey et al. 2012</w:t>
      </w:r>
      <w: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17"/>
        <w:gridCol w:w="5743"/>
      </w:tblGrid>
      <w:tr w:rsidR="00C34E7F" w14:paraId="256141BC" w14:textId="77777777" w:rsidTr="00CF34B9">
        <w:trPr>
          <w:trHeight w:val="3744"/>
        </w:trPr>
        <w:tc>
          <w:tcPr>
            <w:tcW w:w="3613" w:type="dxa"/>
          </w:tcPr>
          <w:p w14:paraId="7686FD7D" w14:textId="77777777" w:rsidR="00C34E7F" w:rsidRDefault="00C34E7F" w:rsidP="007245F5">
            <w:r w:rsidRPr="002E5136">
              <w:rPr>
                <w:noProof/>
                <w:lang w:eastAsia="zh-CN" w:bidi="ar-SA"/>
              </w:rPr>
              <w:drawing>
                <wp:inline distT="0" distB="0" distL="0" distR="0" wp14:anchorId="10E326E2" wp14:editId="75575576">
                  <wp:extent cx="2286000" cy="2290169"/>
                  <wp:effectExtent l="0" t="0" r="0" b="0"/>
                  <wp:docPr id="1043" name="Picture 4">
                    <a:extLst xmlns:a="http://schemas.openxmlformats.org/drawingml/2006/main">
                      <a:ext uri="{FF2B5EF4-FFF2-40B4-BE49-F238E27FC236}">
                        <a16:creationId xmlns:a16="http://schemas.microsoft.com/office/drawing/2014/main" id="{0F5BA6BB-D863-42DC-B8A5-184EC1B09FC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0F5BA6BB-D863-42DC-B8A5-184EC1B09FC8}"/>
                              </a:ext>
                            </a:extLst>
                          </pic:cNvPr>
                          <pic:cNvPicPr>
                            <a:picLocks noChangeAspect="1"/>
                          </pic:cNvPicPr>
                        </pic:nvPicPr>
                        <pic:blipFill rotWithShape="1">
                          <a:blip r:embed="rId63" cstate="print">
                            <a:extLst>
                              <a:ext uri="{28A0092B-C50C-407E-A947-70E740481C1C}">
                                <a14:useLocalDpi xmlns:a14="http://schemas.microsoft.com/office/drawing/2010/main" val="0"/>
                              </a:ext>
                            </a:extLst>
                          </a:blip>
                          <a:srcRect l="6598" r="18537"/>
                          <a:stretch/>
                        </pic:blipFill>
                        <pic:spPr>
                          <a:xfrm>
                            <a:off x="0" y="0"/>
                            <a:ext cx="2286000" cy="2290169"/>
                          </a:xfrm>
                          <a:prstGeom prst="rect">
                            <a:avLst/>
                          </a:prstGeom>
                        </pic:spPr>
                      </pic:pic>
                    </a:graphicData>
                  </a:graphic>
                </wp:inline>
              </w:drawing>
            </w:r>
          </w:p>
        </w:tc>
        <w:tc>
          <w:tcPr>
            <w:tcW w:w="5737" w:type="dxa"/>
          </w:tcPr>
          <w:p w14:paraId="33B7987A" w14:textId="77777777" w:rsidR="00C34E7F" w:rsidRDefault="00C34E7F" w:rsidP="007245F5">
            <w:r w:rsidRPr="002E5136">
              <w:rPr>
                <w:noProof/>
                <w:lang w:eastAsia="zh-CN" w:bidi="ar-SA"/>
              </w:rPr>
              <w:drawing>
                <wp:inline distT="0" distB="0" distL="0" distR="0" wp14:anchorId="327673E6" wp14:editId="054904EB">
                  <wp:extent cx="3706282" cy="2290167"/>
                  <wp:effectExtent l="0" t="0" r="8890" b="0"/>
                  <wp:docPr id="1044" name="Picture 3">
                    <a:extLst xmlns:a="http://schemas.openxmlformats.org/drawingml/2006/main">
                      <a:ext uri="{FF2B5EF4-FFF2-40B4-BE49-F238E27FC236}">
                        <a16:creationId xmlns:a16="http://schemas.microsoft.com/office/drawing/2014/main" id="{00D56878-C973-4AA5-B569-54B2F1C691D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00D56878-C973-4AA5-B569-54B2F1C691D7}"/>
                              </a:ext>
                            </a:extLst>
                          </pic:cNvPr>
                          <pic:cNvPicPr>
                            <a:picLocks noChangeAspect="1"/>
                          </pic:cNvPicPr>
                        </pic:nvPicPr>
                        <pic:blipFill rotWithShape="1">
                          <a:blip r:embed="rId64" cstate="print">
                            <a:extLst>
                              <a:ext uri="{28A0092B-C50C-407E-A947-70E740481C1C}">
                                <a14:useLocalDpi xmlns:a14="http://schemas.microsoft.com/office/drawing/2010/main" val="0"/>
                              </a:ext>
                            </a:extLst>
                          </a:blip>
                          <a:srcRect l="9013" r="1510"/>
                          <a:stretch/>
                        </pic:blipFill>
                        <pic:spPr>
                          <a:xfrm>
                            <a:off x="0" y="0"/>
                            <a:ext cx="3706282" cy="2290167"/>
                          </a:xfrm>
                          <a:prstGeom prst="rect">
                            <a:avLst/>
                          </a:prstGeom>
                        </pic:spPr>
                      </pic:pic>
                    </a:graphicData>
                  </a:graphic>
                </wp:inline>
              </w:drawing>
            </w:r>
          </w:p>
        </w:tc>
      </w:tr>
      <w:tr w:rsidR="00C34E7F" w14:paraId="2820E44D" w14:textId="77777777" w:rsidTr="00CF34B9">
        <w:trPr>
          <w:trHeight w:val="3744"/>
        </w:trPr>
        <w:tc>
          <w:tcPr>
            <w:tcW w:w="3613" w:type="dxa"/>
          </w:tcPr>
          <w:p w14:paraId="1F2392BB" w14:textId="77777777" w:rsidR="00C34E7F" w:rsidRDefault="00C34E7F" w:rsidP="007245F5">
            <w:r w:rsidRPr="00D75640">
              <w:rPr>
                <w:noProof/>
                <w:lang w:eastAsia="zh-CN" w:bidi="ar-SA"/>
              </w:rPr>
              <w:drawing>
                <wp:inline distT="0" distB="0" distL="0" distR="0" wp14:anchorId="5D4E4DFD" wp14:editId="2012B99B">
                  <wp:extent cx="2286000" cy="2290167"/>
                  <wp:effectExtent l="0" t="0" r="0" b="0"/>
                  <wp:docPr id="1042" name="Picture 7">
                    <a:extLst xmlns:a="http://schemas.openxmlformats.org/drawingml/2006/main">
                      <a:ext uri="{FF2B5EF4-FFF2-40B4-BE49-F238E27FC236}">
                        <a16:creationId xmlns:a16="http://schemas.microsoft.com/office/drawing/2014/main" id="{4A65D3AC-A8D0-401B-AA7E-F913672FE88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id="{4A65D3AC-A8D0-401B-AA7E-F913672FE886}"/>
                              </a:ext>
                            </a:extLst>
                          </pic:cNvPr>
                          <pic:cNvPicPr>
                            <a:picLocks noChangeAspect="1"/>
                          </pic:cNvPicPr>
                        </pic:nvPicPr>
                        <pic:blipFill rotWithShape="1">
                          <a:blip r:embed="rId65" cstate="print">
                            <a:extLst>
                              <a:ext uri="{28A0092B-C50C-407E-A947-70E740481C1C}">
                                <a14:useLocalDpi xmlns:a14="http://schemas.microsoft.com/office/drawing/2010/main" val="0"/>
                              </a:ext>
                            </a:extLst>
                          </a:blip>
                          <a:srcRect l="19066"/>
                          <a:stretch/>
                        </pic:blipFill>
                        <pic:spPr>
                          <a:xfrm>
                            <a:off x="0" y="0"/>
                            <a:ext cx="2286000" cy="2290167"/>
                          </a:xfrm>
                          <a:prstGeom prst="rect">
                            <a:avLst/>
                          </a:prstGeom>
                        </pic:spPr>
                      </pic:pic>
                    </a:graphicData>
                  </a:graphic>
                </wp:inline>
              </w:drawing>
            </w:r>
          </w:p>
        </w:tc>
        <w:tc>
          <w:tcPr>
            <w:tcW w:w="5737" w:type="dxa"/>
          </w:tcPr>
          <w:p w14:paraId="32C0C3B6" w14:textId="77777777" w:rsidR="00C34E7F" w:rsidRDefault="00C34E7F" w:rsidP="007245F5">
            <w:r w:rsidRPr="002E5136">
              <w:rPr>
                <w:noProof/>
                <w:lang w:eastAsia="zh-CN" w:bidi="ar-SA"/>
              </w:rPr>
              <w:drawing>
                <wp:inline distT="0" distB="0" distL="0" distR="0" wp14:anchorId="096728DB" wp14:editId="55972037">
                  <wp:extent cx="3706282" cy="2278989"/>
                  <wp:effectExtent l="0" t="0" r="8890" b="7620"/>
                  <wp:docPr id="1041" name="Picture 5">
                    <a:extLst xmlns:a="http://schemas.openxmlformats.org/drawingml/2006/main">
                      <a:ext uri="{FF2B5EF4-FFF2-40B4-BE49-F238E27FC236}">
                        <a16:creationId xmlns:a16="http://schemas.microsoft.com/office/drawing/2014/main" id="{E8CBE3B5-B04C-42C3-87C1-5A172224E6D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E8CBE3B5-B04C-42C3-87C1-5A172224E6D4}"/>
                              </a:ext>
                            </a:extLst>
                          </pic:cNvPr>
                          <pic:cNvPicPr>
                            <a:picLocks noChangeAspect="1"/>
                          </pic:cNvPicPr>
                        </pic:nvPicPr>
                        <pic:blipFill rotWithShape="1">
                          <a:blip r:embed="rId66">
                            <a:extLst>
                              <a:ext uri="{28A0092B-C50C-407E-A947-70E740481C1C}">
                                <a14:useLocalDpi xmlns:a14="http://schemas.microsoft.com/office/drawing/2010/main" val="0"/>
                              </a:ext>
                            </a:extLst>
                          </a:blip>
                          <a:srcRect l="2764" t="20325" r="-1"/>
                          <a:stretch/>
                        </pic:blipFill>
                        <pic:spPr>
                          <a:xfrm>
                            <a:off x="0" y="0"/>
                            <a:ext cx="3706282" cy="2278989"/>
                          </a:xfrm>
                          <a:prstGeom prst="rect">
                            <a:avLst/>
                          </a:prstGeom>
                        </pic:spPr>
                      </pic:pic>
                    </a:graphicData>
                  </a:graphic>
                </wp:inline>
              </w:drawing>
            </w:r>
          </w:p>
        </w:tc>
      </w:tr>
    </w:tbl>
    <w:p w14:paraId="3B2E51F3" w14:textId="1D65963C" w:rsidR="00C34E7F" w:rsidRDefault="00C34E7F" w:rsidP="00C34E7F">
      <w:pPr>
        <w:pStyle w:val="TOF"/>
      </w:pPr>
      <w:bookmarkStart w:id="110" w:name="_Toc526197086"/>
      <w:r>
        <w:t xml:space="preserve">Figure </w:t>
      </w:r>
      <w:r w:rsidR="008E5A7B">
        <w:t>2.13</w:t>
      </w:r>
      <w:r>
        <w:t>. Concrete channels, floods, and fires that result in the loss of riparian habitats lead to increased temperature in rivers and streams. Top left: Los Angeles River (photo by California State Parks), top right: South Yuba River (photo from Wikimedia commons), bottom left: tributary to the Los Angeles River near Van Nuys (photo from Wikimedia commons), bottom right: (photo from SCCWRP).</w:t>
      </w:r>
      <w:bookmarkEnd w:id="110"/>
    </w:p>
    <w:p w14:paraId="30F72113" w14:textId="77777777" w:rsidR="00C34E7F" w:rsidRDefault="00C34E7F" w:rsidP="00C34E7F">
      <w:pPr>
        <w:pStyle w:val="TOF"/>
      </w:pPr>
    </w:p>
    <w:p w14:paraId="510408FD" w14:textId="77777777" w:rsidR="008F0F67" w:rsidRPr="005D164C" w:rsidRDefault="008F0F67" w:rsidP="008F0F67">
      <w:pPr>
        <w:ind w:firstLine="720"/>
      </w:pPr>
      <w:bookmarkStart w:id="111" w:name="_Hlk526134890"/>
      <w:r w:rsidRPr="005D164C">
        <w:t>As an example of this, submerged macrophytes occurs in many shallow water bodies with increasing eutrophication, due to reduced water clarity from algal blooms (Boyer and Sutula 2015).</w:t>
      </w:r>
    </w:p>
    <w:p w14:paraId="657060EE" w14:textId="48FBAB3A" w:rsidR="008A388C" w:rsidRDefault="008F0F67" w:rsidP="008F0F67">
      <w:pPr>
        <w:ind w:firstLine="720"/>
      </w:pPr>
      <w:r w:rsidRPr="005D164C">
        <w:t xml:space="preserve">Temperature is one of the most important factors in controlling the growth rate and community composition of primary producers and prokaryotes responsible for the respiration of dead and decaying organic matter (Robarts and Zohary 1987, Butterwick et al. 2005, Reynolds 2006, Paerl and Huisman 2008). </w:t>
      </w:r>
      <w:r w:rsidR="008A388C">
        <w:t xml:space="preserve"> Temperature will have profound influences in restructuring primary producer communities. For example, the difference in the optimum growth temperatures of the various phytoplankton taxa is hypothesized to become increasingly important in determining phytoplankton community composition as global temperatures continue to increase above 20°C (</w:t>
      </w:r>
      <w:r w:rsidR="008A388C" w:rsidRPr="00361B95">
        <w:rPr>
          <w:highlight w:val="yellow"/>
        </w:rPr>
        <w:t>Lehman et al. 2005</w:t>
      </w:r>
      <w:r w:rsidR="008A388C" w:rsidRPr="00BB2999">
        <w:t xml:space="preserve">, </w:t>
      </w:r>
      <w:bookmarkEnd w:id="111"/>
      <w:r w:rsidR="008A388C" w:rsidRPr="00BB2999">
        <w:t>Paerl and Huisman 2008). Reynolds (2006) suggests that in</w:t>
      </w:r>
      <w:r w:rsidR="008A388C">
        <w:t xml:space="preserve"> freshwater ecosystems with a mixed phytoplankton assemblage, all else being equal, cyanobacteria will be able to grow faster and outcompete other phytoplankton taxa as the temperature increases. With continued climate change and global warming, there’s an increased risk that cyanoHABs will become increasingly competitive vis-à-vis diatoms which often dominate community composition in temperate regions.</w:t>
      </w:r>
      <w:r w:rsidR="00D7252F">
        <w:t xml:space="preserve"> </w:t>
      </w:r>
      <w:bookmarkStart w:id="112" w:name="_Hlk526134950"/>
      <w:r w:rsidR="00D7252F">
        <w:t>T</w:t>
      </w:r>
      <w:r w:rsidR="008A388C">
        <w:t>emperature controls the growth rate of all prokaryotes responsible for the respiration of dead and decaying organic matter (</w:t>
      </w:r>
      <w:r w:rsidRPr="008F0F67">
        <w:t>Paerl et al. 2011</w:t>
      </w:r>
      <w:r w:rsidR="008A388C">
        <w:t>), thus exerting a major control on oxygen demand and hypoxia as well as other key rates of nutrient transformations in the water column and in the sediments (e.g.</w:t>
      </w:r>
      <w:r w:rsidR="00AA04C7">
        <w:t>,</w:t>
      </w:r>
      <w:r w:rsidR="008A388C">
        <w:t xml:space="preserve"> nitrification, denitrification, sulfate reduction, etc.). </w:t>
      </w:r>
    </w:p>
    <w:p w14:paraId="23436919" w14:textId="77777777" w:rsidR="008A388C" w:rsidRDefault="008A388C" w:rsidP="008A388C">
      <w:pPr>
        <w:pStyle w:val="Heading3"/>
      </w:pPr>
      <w:bookmarkStart w:id="113" w:name="_Toc525589904"/>
      <w:bookmarkStart w:id="114" w:name="_Toc525595056"/>
      <w:bookmarkStart w:id="115" w:name="_Toc526196692"/>
      <w:bookmarkEnd w:id="112"/>
      <w:r>
        <w:t>2.5.3 Hydromodification</w:t>
      </w:r>
      <w:bookmarkEnd w:id="113"/>
      <w:bookmarkEnd w:id="114"/>
      <w:bookmarkEnd w:id="115"/>
    </w:p>
    <w:p w14:paraId="6C23A75E" w14:textId="133FBA71" w:rsidR="008A388C" w:rsidRDefault="008A388C" w:rsidP="008A388C">
      <w:pPr>
        <w:ind w:firstLine="720"/>
      </w:pPr>
      <w:bookmarkStart w:id="116" w:name="_Hlk526134970"/>
      <w:r w:rsidRPr="00361B95">
        <w:rPr>
          <w:highlight w:val="yellow"/>
        </w:rPr>
        <w:t>USEPA (1993</w:t>
      </w:r>
      <w:r>
        <w:t>) defines hydromodification as the “alteration of the hydrologic characteristics of surface waters, which in turn could cause degradation of water resources.” Hydromodification can occur through urbanization (water withdrawals, and inter-basin transfers, channelization and channel modification, construction of dams and impoundments, streambank and shoreline erosion, as well as hydrograph modification) and climate change. Net impervious surface, increases with urbanization, leading to accelerating runoff velocities and increases in base hydrological flows. Changes in climate encompass both short-term changes, such as seasonal or annual variability that can lead to conditions such as drought, and long-term changes that are being triggered by global climate change. Climate change in California will impact hydrological patterns. Preliminary studies of downscaled models indicate an increase in overall temperature in California, a shift from less snow to more rain, and an increased frequency of extreme drought and storms. Under these conditions, the magnitude and duration of hydrological flows will accelerate runoff velocities and alter base flows. Water resource management has had a tremendous impact on natural hydrological budget of all of California (</w:t>
      </w:r>
      <w:r w:rsidRPr="00361B95">
        <w:rPr>
          <w:highlight w:val="yellow"/>
        </w:rPr>
        <w:t>Reisner 1986</w:t>
      </w:r>
      <w:r>
        <w:t xml:space="preserve">), through dams, flood control of streams and rivers, water withdrawals and interbasin transfers). These changes have fundamentally altered basic physical and hydrodynamic forcing of aquatic habitats, which constitute major controls on eutrophication. </w:t>
      </w:r>
    </w:p>
    <w:bookmarkEnd w:id="116"/>
    <w:p w14:paraId="2D79308F" w14:textId="1D48AAFA" w:rsidR="00635643" w:rsidRDefault="00635643" w:rsidP="008A388C">
      <w:pPr>
        <w:ind w:firstLine="720"/>
      </w:pPr>
    </w:p>
    <w:p w14:paraId="07D4082C" w14:textId="6C4A412B" w:rsidR="00635643" w:rsidRDefault="00635643" w:rsidP="008A388C">
      <w:pPr>
        <w:ind w:firstLine="720"/>
      </w:pPr>
    </w:p>
    <w:p w14:paraId="77B30FDF" w14:textId="77777777" w:rsidR="00635643" w:rsidRDefault="00635643" w:rsidP="008A388C">
      <w:pPr>
        <w:ind w:firstLine="720"/>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0"/>
        <w:gridCol w:w="4680"/>
      </w:tblGrid>
      <w:tr w:rsidR="00C34E7F" w14:paraId="1F59A584" w14:textId="77777777" w:rsidTr="00CF34B9">
        <w:trPr>
          <w:trHeight w:val="4752"/>
        </w:trPr>
        <w:tc>
          <w:tcPr>
            <w:tcW w:w="4675" w:type="dxa"/>
          </w:tcPr>
          <w:p w14:paraId="3C817A34" w14:textId="77777777" w:rsidR="00C34E7F" w:rsidRDefault="00C34E7F" w:rsidP="007245F5">
            <w:pPr>
              <w:spacing w:after="0"/>
            </w:pPr>
            <w:r w:rsidRPr="0049103E">
              <w:rPr>
                <w:noProof/>
                <w:lang w:eastAsia="zh-CN" w:bidi="ar-SA"/>
              </w:rPr>
              <w:drawing>
                <wp:inline distT="0" distB="0" distL="0" distR="0" wp14:anchorId="3F2E8EA2" wp14:editId="7822BD82">
                  <wp:extent cx="2922665" cy="2926080"/>
                  <wp:effectExtent l="0" t="0" r="0" b="7620"/>
                  <wp:docPr id="1056" name="Picture 6">
                    <a:extLst xmlns:a="http://schemas.openxmlformats.org/drawingml/2006/main">
                      <a:ext uri="{FF2B5EF4-FFF2-40B4-BE49-F238E27FC236}">
                        <a16:creationId xmlns:a16="http://schemas.microsoft.com/office/drawing/2014/main" id="{7E003BF1-DBD4-47A4-A878-68767580367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7E003BF1-DBD4-47A4-A878-687675803672}"/>
                              </a:ext>
                            </a:extLst>
                          </pic:cNvPr>
                          <pic:cNvPicPr>
                            <a:picLocks noChangeAspect="1"/>
                          </pic:cNvPicPr>
                        </pic:nvPicPr>
                        <pic:blipFill rotWithShape="1">
                          <a:blip r:embed="rId67" cstate="print">
                            <a:extLst>
                              <a:ext uri="{28A0092B-C50C-407E-A947-70E740481C1C}">
                                <a14:useLocalDpi xmlns:a14="http://schemas.microsoft.com/office/drawing/2010/main" val="0"/>
                              </a:ext>
                            </a:extLst>
                          </a:blip>
                          <a:srcRect l="14919" r="18670"/>
                          <a:stretch/>
                        </pic:blipFill>
                        <pic:spPr>
                          <a:xfrm>
                            <a:off x="0" y="0"/>
                            <a:ext cx="2922665" cy="2926080"/>
                          </a:xfrm>
                          <a:prstGeom prst="rect">
                            <a:avLst/>
                          </a:prstGeom>
                        </pic:spPr>
                      </pic:pic>
                    </a:graphicData>
                  </a:graphic>
                </wp:inline>
              </w:drawing>
            </w:r>
          </w:p>
        </w:tc>
        <w:tc>
          <w:tcPr>
            <w:tcW w:w="4675" w:type="dxa"/>
          </w:tcPr>
          <w:p w14:paraId="4E39ED83" w14:textId="77777777" w:rsidR="00C34E7F" w:rsidRDefault="00C34E7F" w:rsidP="007245F5">
            <w:pPr>
              <w:spacing w:after="0"/>
            </w:pPr>
            <w:r w:rsidRPr="0049103E">
              <w:rPr>
                <w:noProof/>
                <w:lang w:eastAsia="zh-CN" w:bidi="ar-SA"/>
              </w:rPr>
              <w:drawing>
                <wp:inline distT="0" distB="0" distL="0" distR="0" wp14:anchorId="67CD0A34" wp14:editId="400D4EF9">
                  <wp:extent cx="2918125" cy="2926080"/>
                  <wp:effectExtent l="0" t="0" r="0" b="7620"/>
                  <wp:docPr id="1057" name="Picture 9">
                    <a:extLst xmlns:a="http://schemas.openxmlformats.org/drawingml/2006/main">
                      <a:ext uri="{FF2B5EF4-FFF2-40B4-BE49-F238E27FC236}">
                        <a16:creationId xmlns:a16="http://schemas.microsoft.com/office/drawing/2014/main" id="{ECE21F0F-AF33-4E37-8B6A-2320500584E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a:extLst>
                              <a:ext uri="{FF2B5EF4-FFF2-40B4-BE49-F238E27FC236}">
                                <a16:creationId xmlns:a16="http://schemas.microsoft.com/office/drawing/2014/main" id="{ECE21F0F-AF33-4E37-8B6A-2320500584EC}"/>
                              </a:ext>
                            </a:extLst>
                          </pic:cNvPr>
                          <pic:cNvPicPr>
                            <a:picLocks noChangeAspect="1"/>
                          </pic:cNvPicPr>
                        </pic:nvPicPr>
                        <pic:blipFill rotWithShape="1">
                          <a:blip r:embed="rId68"/>
                          <a:srcRect l="18359" r="45376"/>
                          <a:stretch/>
                        </pic:blipFill>
                        <pic:spPr>
                          <a:xfrm>
                            <a:off x="0" y="0"/>
                            <a:ext cx="2918125" cy="2926080"/>
                          </a:xfrm>
                          <a:prstGeom prst="rect">
                            <a:avLst/>
                          </a:prstGeom>
                        </pic:spPr>
                      </pic:pic>
                    </a:graphicData>
                  </a:graphic>
                </wp:inline>
              </w:drawing>
            </w:r>
          </w:p>
        </w:tc>
      </w:tr>
      <w:tr w:rsidR="00C34E7F" w14:paraId="5D847FFA" w14:textId="77777777" w:rsidTr="00CF34B9">
        <w:trPr>
          <w:trHeight w:val="4752"/>
        </w:trPr>
        <w:tc>
          <w:tcPr>
            <w:tcW w:w="4675" w:type="dxa"/>
          </w:tcPr>
          <w:p w14:paraId="4D2F7425" w14:textId="77777777" w:rsidR="00C34E7F" w:rsidRDefault="00C34E7F" w:rsidP="007245F5">
            <w:pPr>
              <w:spacing w:after="0"/>
            </w:pPr>
            <w:r w:rsidRPr="0049103E">
              <w:rPr>
                <w:noProof/>
                <w:lang w:eastAsia="zh-CN" w:bidi="ar-SA"/>
              </w:rPr>
              <w:drawing>
                <wp:inline distT="0" distB="0" distL="0" distR="0" wp14:anchorId="599B7761" wp14:editId="3C3FA4AC">
                  <wp:extent cx="2922665" cy="2926080"/>
                  <wp:effectExtent l="0" t="0" r="0" b="7620"/>
                  <wp:docPr id="1045" name="Picture 11">
                    <a:extLst xmlns:a="http://schemas.openxmlformats.org/drawingml/2006/main">
                      <a:ext uri="{FF2B5EF4-FFF2-40B4-BE49-F238E27FC236}">
                        <a16:creationId xmlns:a16="http://schemas.microsoft.com/office/drawing/2014/main" id="{9A312504-524B-433A-B4CB-F20822B255D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a:extLst>
                              <a:ext uri="{FF2B5EF4-FFF2-40B4-BE49-F238E27FC236}">
                                <a16:creationId xmlns:a16="http://schemas.microsoft.com/office/drawing/2014/main" id="{9A312504-524B-433A-B4CB-F20822B255D3}"/>
                              </a:ext>
                            </a:extLst>
                          </pic:cNvPr>
                          <pic:cNvPicPr>
                            <a:picLocks noChangeAspect="1"/>
                          </pic:cNvPicPr>
                        </pic:nvPicPr>
                        <pic:blipFill rotWithShape="1">
                          <a:blip r:embed="rId69">
                            <a:extLst>
                              <a:ext uri="{28A0092B-C50C-407E-A947-70E740481C1C}">
                                <a14:useLocalDpi xmlns:a14="http://schemas.microsoft.com/office/drawing/2010/main" val="0"/>
                              </a:ext>
                            </a:extLst>
                          </a:blip>
                          <a:srcRect l="19802" r="5285"/>
                          <a:stretch/>
                        </pic:blipFill>
                        <pic:spPr>
                          <a:xfrm>
                            <a:off x="0" y="0"/>
                            <a:ext cx="2922665" cy="2926080"/>
                          </a:xfrm>
                          <a:prstGeom prst="rect">
                            <a:avLst/>
                          </a:prstGeom>
                        </pic:spPr>
                      </pic:pic>
                    </a:graphicData>
                  </a:graphic>
                </wp:inline>
              </w:drawing>
            </w:r>
          </w:p>
        </w:tc>
        <w:tc>
          <w:tcPr>
            <w:tcW w:w="4675" w:type="dxa"/>
          </w:tcPr>
          <w:p w14:paraId="30879C50" w14:textId="77777777" w:rsidR="00C34E7F" w:rsidRDefault="00C34E7F" w:rsidP="007245F5">
            <w:pPr>
              <w:spacing w:after="0"/>
            </w:pPr>
            <w:r w:rsidRPr="0049103E">
              <w:rPr>
                <w:noProof/>
                <w:lang w:eastAsia="zh-CN" w:bidi="ar-SA"/>
              </w:rPr>
              <w:drawing>
                <wp:inline distT="0" distB="0" distL="0" distR="0" wp14:anchorId="709D2B8E" wp14:editId="589CD4F4">
                  <wp:extent cx="2922665" cy="2926080"/>
                  <wp:effectExtent l="0" t="0" r="0" b="7620"/>
                  <wp:docPr id="1046" name="Picture 15">
                    <a:extLst xmlns:a="http://schemas.openxmlformats.org/drawingml/2006/main">
                      <a:ext uri="{FF2B5EF4-FFF2-40B4-BE49-F238E27FC236}">
                        <a16:creationId xmlns:a16="http://schemas.microsoft.com/office/drawing/2014/main" id="{98ABE152-70C0-4C93-A9D9-5CE36C99F7A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5">
                            <a:extLst>
                              <a:ext uri="{FF2B5EF4-FFF2-40B4-BE49-F238E27FC236}">
                                <a16:creationId xmlns:a16="http://schemas.microsoft.com/office/drawing/2014/main" id="{98ABE152-70C0-4C93-A9D9-5CE36C99F7A3}"/>
                              </a:ext>
                            </a:extLst>
                          </pic:cNvPr>
                          <pic:cNvPicPr>
                            <a:picLocks noChangeAspect="1"/>
                          </pic:cNvPicPr>
                        </pic:nvPicPr>
                        <pic:blipFill rotWithShape="1">
                          <a:blip r:embed="rId70">
                            <a:extLst>
                              <a:ext uri="{28A0092B-C50C-407E-A947-70E740481C1C}">
                                <a14:useLocalDpi xmlns:a14="http://schemas.microsoft.com/office/drawing/2010/main" val="0"/>
                              </a:ext>
                            </a:extLst>
                          </a:blip>
                          <a:srcRect l="10779" r="21767"/>
                          <a:stretch/>
                        </pic:blipFill>
                        <pic:spPr>
                          <a:xfrm>
                            <a:off x="0" y="0"/>
                            <a:ext cx="2922665" cy="2926080"/>
                          </a:xfrm>
                          <a:prstGeom prst="rect">
                            <a:avLst/>
                          </a:prstGeom>
                        </pic:spPr>
                      </pic:pic>
                    </a:graphicData>
                  </a:graphic>
                </wp:inline>
              </w:drawing>
            </w:r>
          </w:p>
        </w:tc>
      </w:tr>
    </w:tbl>
    <w:p w14:paraId="2BB26932" w14:textId="3BA93EB3" w:rsidR="006E6ABE" w:rsidRDefault="006E6ABE" w:rsidP="006E6ABE">
      <w:pPr>
        <w:pStyle w:val="TOF"/>
      </w:pPr>
      <w:bookmarkStart w:id="117" w:name="_Toc526197087"/>
      <w:r>
        <w:t xml:space="preserve">Figure </w:t>
      </w:r>
      <w:r w:rsidR="008E5A7B">
        <w:t>2.14</w:t>
      </w:r>
      <w:r>
        <w:t>. Examples of hydromodification. (Photo source: top left Wikimedia Commons, top right esassoc.com, bottom left SCCWRP, bottom right SCCWRP).</w:t>
      </w:r>
      <w:bookmarkEnd w:id="117"/>
    </w:p>
    <w:p w14:paraId="734ED62A" w14:textId="77777777" w:rsidR="006E6ABE" w:rsidRDefault="006E6ABE" w:rsidP="006E6ABE">
      <w:pPr>
        <w:spacing w:after="0"/>
      </w:pPr>
    </w:p>
    <w:p w14:paraId="2ED89F56" w14:textId="3C733B30" w:rsidR="008A388C" w:rsidRDefault="008A388C" w:rsidP="008F0F67">
      <w:r>
        <w:t>Taken together, these alterations can result in a myriad of impacts that lead to physical habitat alteration, modified hydrographs and hydroperiods, stratification, and altered hydraulic residence times. The ecological impacts are strongly linked to eutrophication, via pathways of altered channel substrate (including hardscaping), increased sedimentation, higher water temperature</w:t>
      </w:r>
      <w:r w:rsidR="006C2B66">
        <w:t xml:space="preserve"> (see previous section)</w:t>
      </w:r>
      <w:r>
        <w:t>, longer residence time, reduced surface water reaeration.  The outcomes are several-fold—including but not limited to higher organic accumulation, lower dissolved oxygen, and a fundamental shift in natural biological communities, including a loss of fish and other aquatic populations. Drought-prone California is</w:t>
      </w:r>
      <w:r w:rsidR="00B06F16">
        <w:t xml:space="preserve"> </w:t>
      </w:r>
      <w:r>
        <w:t>increasingly focus</w:t>
      </w:r>
      <w:r w:rsidR="00B06F16">
        <w:t>ed</w:t>
      </w:r>
      <w:r>
        <w:t xml:space="preserve"> on development of sustainable water supplies that promote conservation, water-use efficiency, conjunctive use, wastewater recycling, groundwater remediation, and desalination</w:t>
      </w:r>
      <w:r w:rsidR="00B06F16">
        <w:t>.</w:t>
      </w:r>
      <w:r>
        <w:t xml:space="preserve"> These actions may result in changes in conditions </w:t>
      </w:r>
      <w:r w:rsidR="00B06F16">
        <w:t>that can either exacerbate or mitigation</w:t>
      </w:r>
      <w:r>
        <w:t xml:space="preserve"> eutrophication.  </w:t>
      </w:r>
    </w:p>
    <w:p w14:paraId="47656628" w14:textId="77777777" w:rsidR="008A388C" w:rsidRDefault="008A388C" w:rsidP="008A388C">
      <w:pPr>
        <w:pStyle w:val="Heading3"/>
      </w:pPr>
      <w:bookmarkStart w:id="118" w:name="_Toc525589905"/>
      <w:bookmarkStart w:id="119" w:name="_Toc525595057"/>
      <w:bookmarkStart w:id="120" w:name="_Toc526196693"/>
      <w:r>
        <w:t>2.5.4   Other Biostimulatory Factors</w:t>
      </w:r>
      <w:bookmarkEnd w:id="118"/>
      <w:bookmarkEnd w:id="119"/>
      <w:bookmarkEnd w:id="120"/>
    </w:p>
    <w:p w14:paraId="180CE40D" w14:textId="6EC9B7A1" w:rsidR="008A388C" w:rsidRDefault="008A388C" w:rsidP="008A388C">
      <w:pPr>
        <w:ind w:firstLine="720"/>
      </w:pPr>
      <w:bookmarkStart w:id="121" w:name="_Hlk526134997"/>
      <w:r>
        <w:t xml:space="preserve">Additional to the above-mentioned factors, several others may influence eutrophication, including grazing by higher </w:t>
      </w:r>
      <w:r w:rsidRPr="00BB2999">
        <w:t xml:space="preserve">trophic levels </w:t>
      </w:r>
      <w:r w:rsidR="008F0F67" w:rsidRPr="00BB2999">
        <w:t>Jassby 2008, Lucas et al. 2016</w:t>
      </w:r>
      <w:r w:rsidRPr="00BB2999">
        <w:t xml:space="preserve">) and exposure to toxic compounds such as herbicides and pesticides. For example, substantial </w:t>
      </w:r>
      <w:bookmarkEnd w:id="121"/>
      <w:r w:rsidRPr="00BB2999">
        <w:t>variability exists in sensitivity to herbicides among cyanobacteria compared with other phytoplankton such as green algae and diatoms (Peterson et al. 1997, Lurling and Roessink 2006), potentially leading</w:t>
      </w:r>
      <w:r>
        <w:t xml:space="preserve"> to dominance by HAB species.  Herbicides or pesticides may depress growth or consumer grazing of algae or aquatic plants on site, but blooms may form downstream once the inhibitory effects of the chemicals have dissipated. </w:t>
      </w:r>
    </w:p>
    <w:p w14:paraId="41958031" w14:textId="77777777" w:rsidR="008A388C" w:rsidRDefault="008A388C" w:rsidP="008A388C">
      <w:pPr>
        <w:pStyle w:val="Heading3"/>
      </w:pPr>
      <w:bookmarkStart w:id="122" w:name="_Toc525589906"/>
      <w:bookmarkStart w:id="123" w:name="_Toc525595058"/>
      <w:bookmarkStart w:id="124" w:name="_Toc526196694"/>
      <w:r>
        <w:t>2.5.5 Origins, Variability and Natural Background in Biostimulatory Substances and Drivers</w:t>
      </w:r>
      <w:bookmarkEnd w:id="122"/>
      <w:bookmarkEnd w:id="123"/>
      <w:bookmarkEnd w:id="124"/>
    </w:p>
    <w:p w14:paraId="1F63BDDB" w14:textId="095949D7" w:rsidR="008A388C" w:rsidRDefault="008A388C" w:rsidP="008A388C">
      <w:pPr>
        <w:ind w:firstLine="720"/>
      </w:pPr>
      <w:r>
        <w:t>Biostimulatory drivers can be local, regional or global in origin, with high temporal and spatial variability, and some component of natural background forcing that can contribute to eutrophication symptoms.</w:t>
      </w:r>
      <w:r>
        <w:rPr>
          <w:i/>
        </w:rPr>
        <w:t xml:space="preserve"> </w:t>
      </w:r>
      <w:r>
        <w:t xml:space="preserve">Biostimulatory drivers can be </w:t>
      </w:r>
      <w:r>
        <w:rPr>
          <w:i/>
        </w:rPr>
        <w:t>in situ</w:t>
      </w:r>
      <w:r>
        <w:t xml:space="preserve"> (e.g.</w:t>
      </w:r>
      <w:r w:rsidR="00AA04C7">
        <w:t>,</w:t>
      </w:r>
      <w:r>
        <w:t xml:space="preserve"> sediment benthic flux of nutrients, legacy organic matter), upstream sources or within the hydrological basin or watershed (e.g.</w:t>
      </w:r>
      <w:r w:rsidR="00AA04C7">
        <w:t>,</w:t>
      </w:r>
      <w:r>
        <w:t xml:space="preserve"> nutrient inputs, organic matter loading scoured from upstream algal blooms, regional (e.g.</w:t>
      </w:r>
      <w:r w:rsidR="00AA04C7">
        <w:t>,</w:t>
      </w:r>
      <w:r>
        <w:t xml:space="preserve"> atmospheric deposition), or global (elevated CO2, temperature from global).  Biostimulatory drivers can be temporally and spatially variable, driven by factors such as complexity of land use within a watershed, climate forcing, and watershed and coastal hydrodynamics.  Natural background conditions (e.g.</w:t>
      </w:r>
      <w:r w:rsidR="00AA04C7">
        <w:t>,</w:t>
      </w:r>
      <w:r>
        <w:t xml:space="preserve"> geology, headwater springs) can produce locally-elevated nutrient concentrations or biostimulatory conditions that should be considered in the synthesis of biostimulatory drivers within a watershed.  Climate events such as drought, fires, flood events, etc.  can dramatically change biostimulatory conditions within a watershed for extended periods. Such natural background and event-driven biostimulatory conditions should be considered when developing establishing compliance for biostimulatory targets.  </w:t>
      </w:r>
    </w:p>
    <w:p w14:paraId="50773D2B" w14:textId="77777777" w:rsidR="008A388C" w:rsidRDefault="008A388C" w:rsidP="008A388C">
      <w:pPr>
        <w:pStyle w:val="Heading2"/>
      </w:pPr>
      <w:bookmarkStart w:id="125" w:name="_Toc525589907"/>
      <w:bookmarkStart w:id="126" w:name="_Toc525595059"/>
      <w:bookmarkStart w:id="127" w:name="_Toc526196695"/>
      <w:r>
        <w:t>2.6 Development of Watershed–Specific Conceptual Models of Biostimulatory Impacts</w:t>
      </w:r>
      <w:bookmarkEnd w:id="125"/>
      <w:bookmarkEnd w:id="126"/>
      <w:bookmarkEnd w:id="127"/>
      <w:r>
        <w:t xml:space="preserve"> </w:t>
      </w:r>
    </w:p>
    <w:p w14:paraId="097286D2" w14:textId="2F975AC2" w:rsidR="008A388C" w:rsidRDefault="008A388C" w:rsidP="008F0F67">
      <w:pPr>
        <w:pBdr>
          <w:top w:val="nil"/>
          <w:left w:val="nil"/>
          <w:bottom w:val="nil"/>
          <w:right w:val="nil"/>
          <w:between w:val="nil"/>
        </w:pBdr>
        <w:spacing w:after="120"/>
        <w:jc w:val="both"/>
        <w:rPr>
          <w:color w:val="000000"/>
        </w:rPr>
      </w:pPr>
      <w:r>
        <w:rPr>
          <w:color w:val="000000"/>
        </w:rPr>
        <w:t>Ultimately, an effort to develop watershed or waterbody nutrient management and restoration strategies should begin with development of a detailed conceptual model, (e.g.</w:t>
      </w:r>
      <w:r w:rsidR="00AA04C7">
        <w:rPr>
          <w:color w:val="000000"/>
        </w:rPr>
        <w:t>,</w:t>
      </w:r>
      <w:r>
        <w:rPr>
          <w:color w:val="000000"/>
        </w:rPr>
        <w:t xml:space="preserve"> Figure 2.</w:t>
      </w:r>
      <w:r w:rsidR="000C0514">
        <w:rPr>
          <w:color w:val="000000"/>
        </w:rPr>
        <w:t>5</w:t>
      </w:r>
      <w:r>
        <w:rPr>
          <w:color w:val="000000"/>
        </w:rPr>
        <w:t>) followed by identification of the most significant risk hypotheses, and analysis of the actions necessary to minimize the risk and protect uses.  To develop an approach that is applicable across many sites it is necessary to prioritize the list to identify, in generic form, those risk hypotheses that are the most important causes of use impairment and can stand in as surrogates for other, less significant or less common risk hypotheses.</w:t>
      </w:r>
    </w:p>
    <w:p w14:paraId="09AAE4DC" w14:textId="120A667E" w:rsidR="008A388C" w:rsidRDefault="008A388C" w:rsidP="008F0F67">
      <w:pPr>
        <w:pBdr>
          <w:top w:val="nil"/>
          <w:left w:val="nil"/>
          <w:bottom w:val="nil"/>
          <w:right w:val="nil"/>
          <w:between w:val="nil"/>
        </w:pBdr>
        <w:spacing w:after="120"/>
        <w:jc w:val="both"/>
        <w:rPr>
          <w:color w:val="000000"/>
        </w:rPr>
      </w:pPr>
      <w:r>
        <w:rPr>
          <w:color w:val="000000"/>
        </w:rPr>
        <w:t>The detailed conceptual model features the major environmental co-factors that influence how nutrients et al. biostimulatory drivers are processed within a water body, and / or have a direct impact on the endpoints</w:t>
      </w:r>
      <w:r w:rsidRPr="00A65C4D">
        <w:rPr>
          <w:color w:val="000000"/>
        </w:rPr>
        <w:t xml:space="preserve"> </w:t>
      </w:r>
      <w:r>
        <w:rPr>
          <w:color w:val="000000"/>
        </w:rPr>
        <w:t>(Figure 2.</w:t>
      </w:r>
      <w:r w:rsidR="000C0514">
        <w:rPr>
          <w:color w:val="000000"/>
        </w:rPr>
        <w:t>5</w:t>
      </w:r>
      <w:r>
        <w:rPr>
          <w:color w:val="000000"/>
        </w:rPr>
        <w:t xml:space="preserve">, on the right side).  These co-factors are important to consider because they affect the way in which biostimulatory drivers are processed in a waterbody and thus the associated risk of use impairment and are an integral part of the decision-making process to maintain or restore water body integrity.  The co-factors operate in different ways in different types of waterbodies.  For example, light availability is an important </w:t>
      </w:r>
      <w:r>
        <w:t>cofactor</w:t>
      </w:r>
      <w:r>
        <w:rPr>
          <w:color w:val="000000"/>
        </w:rPr>
        <w:t xml:space="preserve"> for both streams and lakes; however, in headwater streams light availability is primarily controlled by riparian vegetation, while in lakes it is often most strongly controlled by turbidity and lake management practices. They can include natural gradients (geology) and anthropogenic factors, at local (e.g.</w:t>
      </w:r>
      <w:r w:rsidR="00AA04C7">
        <w:rPr>
          <w:color w:val="000000"/>
        </w:rPr>
        <w:t>,</w:t>
      </w:r>
      <w:r>
        <w:rPr>
          <w:color w:val="000000"/>
        </w:rPr>
        <w:t xml:space="preserve"> water conservation actions) and regional -global scales (climate change). </w:t>
      </w:r>
    </w:p>
    <w:p w14:paraId="154EFA84" w14:textId="34C33B82" w:rsidR="008A388C" w:rsidRDefault="008F0F67" w:rsidP="008F0F67">
      <w:pPr>
        <w:pBdr>
          <w:top w:val="nil"/>
          <w:left w:val="nil"/>
          <w:bottom w:val="nil"/>
          <w:right w:val="nil"/>
          <w:between w:val="nil"/>
        </w:pBdr>
        <w:spacing w:after="120"/>
        <w:jc w:val="both"/>
        <w:sectPr w:rsidR="008A388C" w:rsidSect="00797664">
          <w:pgSz w:w="12240" w:h="15840"/>
          <w:pgMar w:top="1440" w:right="1440" w:bottom="1440" w:left="1440" w:header="0" w:footer="0" w:gutter="0"/>
          <w:cols w:space="720"/>
        </w:sectPr>
      </w:pPr>
      <w:bookmarkStart w:id="128" w:name="_Hlk526135015"/>
      <w:r w:rsidRPr="00BB2999">
        <w:rPr>
          <w:color w:val="000000"/>
        </w:rPr>
        <w:t>Detailed literature reviews including conceptual models and crosswalks to response indicators are available for California wadeable streams (Sutula et al. 2018) and estuaries (Sutula 2011), including San Francisco Bay (Senn et al. 2013) and the Delta (Berg and Sutula 2015, Boyer and Sutula 2015, Dahm et al. 2016). Additional linkages may be significant in individual waterbodies; however, most of the major linkage connections are captured in these figures. Other examples of eutrophication conceptual models are available through EPA’s CADDIS (Norton et al., 2009) website</w:t>
      </w:r>
      <w:r>
        <w:rPr>
          <w:color w:val="000000"/>
        </w:rPr>
        <w:t xml:space="preserve"> as “interactive conceptual diagrams” </w:t>
      </w:r>
      <w:r w:rsidRPr="00BB2999">
        <w:rPr>
          <w:color w:val="000000"/>
        </w:rPr>
        <w:t>(</w:t>
      </w:r>
      <w:hyperlink r:id="rId71">
        <w:r w:rsidRPr="00BB2999">
          <w:rPr>
            <w:color w:val="0000FF"/>
            <w:u w:val="single"/>
          </w:rPr>
          <w:t>www.epa.gov/caddis/cd_icds_intro.html</w:t>
        </w:r>
      </w:hyperlink>
      <w:r w:rsidRPr="00BB2999">
        <w:rPr>
          <w:color w:val="000000"/>
        </w:rPr>
        <w:t>).</w:t>
      </w:r>
      <w:r w:rsidR="008A388C">
        <w:rPr>
          <w:color w:val="000000"/>
        </w:rPr>
        <w:t xml:space="preserve"> </w:t>
      </w:r>
      <w:bookmarkEnd w:id="128"/>
    </w:p>
    <w:p w14:paraId="11ED5633" w14:textId="77777777" w:rsidR="008A388C" w:rsidRDefault="008A388C" w:rsidP="008A388C">
      <w:pPr>
        <w:pBdr>
          <w:top w:val="nil"/>
          <w:left w:val="nil"/>
          <w:bottom w:val="nil"/>
          <w:right w:val="nil"/>
          <w:between w:val="nil"/>
        </w:pBdr>
        <w:spacing w:after="120"/>
        <w:rPr>
          <w:color w:val="000000"/>
        </w:rPr>
      </w:pPr>
      <w:r>
        <w:rPr>
          <w:noProof/>
          <w:lang w:eastAsia="zh-CN" w:bidi="ar-SA"/>
        </w:rPr>
        <w:drawing>
          <wp:inline distT="114300" distB="114300" distL="114300" distR="114300" wp14:anchorId="1B8E5A5D" wp14:editId="20D81491">
            <wp:extent cx="8401050" cy="5248275"/>
            <wp:effectExtent l="0" t="0" r="0" b="9525"/>
            <wp:docPr id="19"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72"/>
                    <a:srcRect/>
                    <a:stretch>
                      <a:fillRect/>
                    </a:stretch>
                  </pic:blipFill>
                  <pic:spPr>
                    <a:xfrm>
                      <a:off x="0" y="0"/>
                      <a:ext cx="8401050" cy="5248275"/>
                    </a:xfrm>
                    <a:prstGeom prst="rect">
                      <a:avLst/>
                    </a:prstGeom>
                    <a:ln/>
                  </pic:spPr>
                </pic:pic>
              </a:graphicData>
            </a:graphic>
          </wp:inline>
        </w:drawing>
      </w:r>
    </w:p>
    <w:p w14:paraId="6C90F372" w14:textId="66D73A35" w:rsidR="008A388C" w:rsidRDefault="008A388C" w:rsidP="008A388C">
      <w:pPr>
        <w:pBdr>
          <w:top w:val="nil"/>
          <w:left w:val="nil"/>
          <w:bottom w:val="nil"/>
          <w:right w:val="nil"/>
          <w:between w:val="nil"/>
        </w:pBdr>
        <w:tabs>
          <w:tab w:val="right" w:pos="9350"/>
        </w:tabs>
        <w:spacing w:after="100" w:line="240" w:lineRule="auto"/>
        <w:rPr>
          <w:rFonts w:ascii="Arial" w:eastAsia="Arial" w:hAnsi="Arial" w:cs="Arial"/>
          <w:i/>
          <w:color w:val="000000"/>
          <w:sz w:val="20"/>
          <w:szCs w:val="20"/>
        </w:rPr>
      </w:pPr>
      <w:r>
        <w:rPr>
          <w:rFonts w:ascii="Arial" w:eastAsia="Arial" w:hAnsi="Arial" w:cs="Arial"/>
          <w:i/>
          <w:color w:val="000000"/>
          <w:sz w:val="20"/>
          <w:szCs w:val="20"/>
        </w:rPr>
        <w:t>Figure 2.</w:t>
      </w:r>
      <w:r w:rsidR="008E5A7B">
        <w:rPr>
          <w:rFonts w:ascii="Arial" w:eastAsia="Arial" w:hAnsi="Arial" w:cs="Arial"/>
          <w:i/>
          <w:color w:val="000000"/>
          <w:sz w:val="20"/>
          <w:szCs w:val="20"/>
        </w:rPr>
        <w:t>1</w:t>
      </w:r>
      <w:r w:rsidR="000C0514">
        <w:rPr>
          <w:rFonts w:ascii="Arial" w:eastAsia="Arial" w:hAnsi="Arial" w:cs="Arial"/>
          <w:i/>
          <w:color w:val="000000"/>
          <w:sz w:val="20"/>
          <w:szCs w:val="20"/>
        </w:rPr>
        <w:t>5</w:t>
      </w:r>
      <w:r>
        <w:rPr>
          <w:rFonts w:ascii="Arial" w:eastAsia="Arial" w:hAnsi="Arial" w:cs="Arial"/>
          <w:i/>
          <w:color w:val="000000"/>
          <w:sz w:val="20"/>
          <w:szCs w:val="20"/>
        </w:rPr>
        <w:t xml:space="preserve">. </w:t>
      </w:r>
      <w:r w:rsidRPr="00BB2999">
        <w:rPr>
          <w:rFonts w:ascii="Arial" w:eastAsia="Arial" w:hAnsi="Arial" w:cs="Arial"/>
          <w:i/>
          <w:color w:val="000000"/>
          <w:sz w:val="20"/>
          <w:szCs w:val="20"/>
        </w:rPr>
        <w:t>Example of detailed conceptual model of biostimulatory drivers, eutrophication responses, and impacts on uses in a lake. Modified from Tetra Tech (2006).</w:t>
      </w:r>
      <w:r>
        <w:rPr>
          <w:rFonts w:ascii="Arial" w:eastAsia="Arial" w:hAnsi="Arial" w:cs="Arial"/>
          <w:i/>
          <w:color w:val="000000"/>
          <w:sz w:val="20"/>
          <w:szCs w:val="20"/>
        </w:rPr>
        <w:t xml:space="preserve"> </w:t>
      </w:r>
    </w:p>
    <w:p w14:paraId="454E7649" w14:textId="77777777" w:rsidR="00B06F16" w:rsidRDefault="008A388C" w:rsidP="008A388C">
      <w:pPr>
        <w:widowControl w:val="0"/>
        <w:pBdr>
          <w:top w:val="nil"/>
          <w:left w:val="nil"/>
          <w:bottom w:val="nil"/>
          <w:right w:val="nil"/>
          <w:between w:val="nil"/>
        </w:pBdr>
        <w:spacing w:after="0"/>
        <w:sectPr w:rsidR="00B06F16" w:rsidSect="00B06F16">
          <w:pgSz w:w="15840" w:h="12240" w:orient="landscape"/>
          <w:pgMar w:top="1440" w:right="1440" w:bottom="1440" w:left="1440" w:header="0" w:footer="0" w:gutter="0"/>
          <w:cols w:space="720"/>
          <w:docGrid w:linePitch="299"/>
        </w:sectPr>
      </w:pPr>
      <w:r>
        <w:br w:type="page"/>
      </w:r>
    </w:p>
    <w:p w14:paraId="797A35BF" w14:textId="77777777" w:rsidR="008A388C" w:rsidRDefault="008A388C" w:rsidP="00783E18">
      <w:pPr>
        <w:pStyle w:val="Heading1"/>
        <w:numPr>
          <w:ilvl w:val="0"/>
          <w:numId w:val="22"/>
        </w:numPr>
      </w:pPr>
      <w:bookmarkStart w:id="129" w:name="_Toc525589908"/>
      <w:bookmarkStart w:id="130" w:name="_Toc525595060"/>
      <w:bookmarkStart w:id="131" w:name="_Toc526196696"/>
      <w:r>
        <w:t>Organizing Assumptions and Scientific Principles for Assessment, Prevention and Management of Biostimulatory Impacts</w:t>
      </w:r>
      <w:bookmarkEnd w:id="129"/>
      <w:bookmarkEnd w:id="130"/>
      <w:bookmarkEnd w:id="131"/>
      <w:r>
        <w:t xml:space="preserve"> </w:t>
      </w:r>
    </w:p>
    <w:p w14:paraId="37556C15" w14:textId="79030049" w:rsidR="008F0F67" w:rsidRDefault="008F0F67" w:rsidP="008F0F67">
      <w:r>
        <w:t xml:space="preserve">The California State Water Board has initiated a project to develop a consistent interpretation to narrative biostimulatory objectives found in all Regional Water Board basin plans and to develop numeric guidance for wadeable streams as Phase I, with other waterbody types in subsequent phases </w:t>
      </w:r>
      <w:r w:rsidRPr="004E333C">
        <w:t>(SWRCB 2014). That current project is preceded by nearly two decades or more of technical and policy discussions on approaches for developing nutrient objectives (nutrient numeric endpoint or NNE; Tetra Tech 2006; SWRCB 2014). During the same time period, Water Board staff has funded or sponsored science to develop the bases for numeric objectives (Tetra Tech 2006) in wadeable streams (Mazor et al., in prep, Theroux et al. in prep, Paul et al. in prep), estuaries and enclosed bays (Sutula 2011, Sutula et al. 2012, Green et al. 2013, Sutula et al. 2014, McLaughlin et al. 2014), and has recently funded work in lakes. These scientific approaches are supported by more than a decade</w:t>
      </w:r>
      <w:r>
        <w:t xml:space="preserve"> of experience in addressed eutrophication through TMDL.</w:t>
      </w:r>
    </w:p>
    <w:p w14:paraId="4BD133F3" w14:textId="54826AA3" w:rsidR="008A388C" w:rsidRDefault="00AA04C7" w:rsidP="004E333C">
      <w:pPr>
        <w:jc w:val="both"/>
      </w:pPr>
      <w:r>
        <w:t>These</w:t>
      </w:r>
      <w:r w:rsidR="008A388C">
        <w:t xml:space="preserve"> organizing assumptions and scientific principles</w:t>
      </w:r>
      <w:r>
        <w:t xml:space="preserve"> are</w:t>
      </w:r>
      <w:r w:rsidR="008A388C">
        <w:t xml:space="preserve"> consistent across all waterbody types</w:t>
      </w:r>
      <w:r>
        <w:t xml:space="preserve"> and</w:t>
      </w:r>
      <w:r w:rsidR="008A388C">
        <w:t xml:space="preserve"> form </w:t>
      </w:r>
      <w:r>
        <w:t xml:space="preserve">the </w:t>
      </w:r>
      <w:r w:rsidR="008A388C">
        <w:t xml:space="preserve">common basis for scientific approaches to assess, prevent, and manage eutrophication (Table 3.1). </w:t>
      </w:r>
    </w:p>
    <w:p w14:paraId="33C2D1A3" w14:textId="77777777" w:rsidR="008A388C" w:rsidRDefault="008A388C" w:rsidP="008A388C">
      <w:pPr>
        <w:pStyle w:val="TOT"/>
        <w:rPr>
          <w:rFonts w:eastAsia="Arial"/>
        </w:rPr>
      </w:pPr>
      <w:bookmarkStart w:id="132" w:name="_Toc526428313"/>
      <w:r>
        <w:rPr>
          <w:rFonts w:eastAsia="Arial"/>
        </w:rPr>
        <w:t>Table 3.1. Summary of Organizing Assumptions and Scientific Principles Supporting the Assessment, Prevention and Management of Biostimulatory Impacts. These assumptions and principles are explained in more detail below. Bolded terms are defined in Appendix 1.</w:t>
      </w:r>
      <w:bookmarkEnd w:id="132"/>
      <w:r>
        <w:rPr>
          <w:rFonts w:eastAsia="Arial"/>
        </w:rPr>
        <w:t xml:space="preserve"> </w:t>
      </w:r>
    </w:p>
    <w:tbl>
      <w:tblPr>
        <w:tblW w:w="9350" w:type="dxa"/>
        <w:tblBorders>
          <w:top w:val="single" w:sz="18" w:space="0" w:color="000000"/>
          <w:left w:val="single" w:sz="8" w:space="0" w:color="B3CC82"/>
          <w:bottom w:val="single" w:sz="18" w:space="0" w:color="000000"/>
          <w:right w:val="single" w:sz="8" w:space="0" w:color="B3CC82"/>
          <w:insideH w:val="single" w:sz="4" w:space="0" w:color="FFFFFF"/>
          <w:insideV w:val="single" w:sz="6" w:space="0" w:color="FFFFFF"/>
        </w:tblBorders>
        <w:tblLayout w:type="fixed"/>
        <w:tblCellMar>
          <w:left w:w="115" w:type="dxa"/>
          <w:right w:w="115" w:type="dxa"/>
        </w:tblCellMar>
        <w:tblLook w:val="06A0" w:firstRow="1" w:lastRow="0" w:firstColumn="1" w:lastColumn="0" w:noHBand="1" w:noVBand="1"/>
      </w:tblPr>
      <w:tblGrid>
        <w:gridCol w:w="9350"/>
      </w:tblGrid>
      <w:tr w:rsidR="008A388C" w14:paraId="650B29EA" w14:textId="77777777" w:rsidTr="00797664">
        <w:trPr>
          <w:trHeight w:val="80"/>
        </w:trPr>
        <w:tc>
          <w:tcPr>
            <w:tcW w:w="9350" w:type="dxa"/>
            <w:tcBorders>
              <w:bottom w:val="nil"/>
            </w:tcBorders>
            <w:shd w:val="clear" w:color="auto" w:fill="auto"/>
          </w:tcPr>
          <w:p w14:paraId="53F12451" w14:textId="77777777" w:rsidR="008A388C" w:rsidRDefault="008A388C" w:rsidP="00797664">
            <w:pPr>
              <w:spacing w:after="120"/>
              <w:jc w:val="both"/>
              <w:rPr>
                <w:b/>
                <w:sz w:val="2"/>
                <w:szCs w:val="2"/>
              </w:rPr>
            </w:pPr>
          </w:p>
        </w:tc>
      </w:tr>
      <w:tr w:rsidR="008A388C" w14:paraId="457E654B" w14:textId="77777777" w:rsidTr="00797664">
        <w:tc>
          <w:tcPr>
            <w:tcW w:w="9350" w:type="dxa"/>
            <w:tcBorders>
              <w:top w:val="nil"/>
            </w:tcBorders>
            <w:shd w:val="clear" w:color="auto" w:fill="auto"/>
          </w:tcPr>
          <w:p w14:paraId="7853E4D3" w14:textId="5A9B98A6" w:rsidR="008A388C" w:rsidRDefault="008A388C" w:rsidP="00797664">
            <w:pPr>
              <w:spacing w:after="120"/>
              <w:jc w:val="both"/>
              <w:rPr>
                <w:b/>
                <w:i/>
                <w:color w:val="000000"/>
              </w:rPr>
            </w:pPr>
            <w:r>
              <w:rPr>
                <w:color w:val="000000"/>
              </w:rPr>
              <w:t xml:space="preserve">1. </w:t>
            </w:r>
            <w:r>
              <w:rPr>
                <w:b/>
                <w:i/>
                <w:color w:val="000000"/>
              </w:rPr>
              <w:t>“</w:t>
            </w:r>
            <w:r w:rsidRPr="00D977A9">
              <w:rPr>
                <w:b/>
                <w:color w:val="000000"/>
              </w:rPr>
              <w:t>Biostimulatory drivers</w:t>
            </w:r>
            <w:r>
              <w:rPr>
                <w:b/>
                <w:i/>
                <w:color w:val="000000"/>
              </w:rPr>
              <w:t xml:space="preserve">” </w:t>
            </w:r>
            <w:r w:rsidRPr="00D977A9">
              <w:rPr>
                <w:color w:val="000000"/>
              </w:rPr>
              <w:t>are</w:t>
            </w:r>
            <w:r w:rsidRPr="0097610E">
              <w:rPr>
                <w:color w:val="000000"/>
              </w:rPr>
              <w:t xml:space="preserve"> </w:t>
            </w:r>
            <w:r>
              <w:rPr>
                <w:color w:val="000000"/>
              </w:rPr>
              <w:t xml:space="preserve">defined as </w:t>
            </w:r>
            <w:r w:rsidRPr="00D977A9">
              <w:rPr>
                <w:b/>
                <w:color w:val="000000"/>
              </w:rPr>
              <w:t xml:space="preserve">substances </w:t>
            </w:r>
            <w:r>
              <w:rPr>
                <w:color w:val="000000"/>
              </w:rPr>
              <w:t>such as nutrients (i.e.</w:t>
            </w:r>
            <w:r w:rsidR="00AA04C7">
              <w:rPr>
                <w:color w:val="000000"/>
              </w:rPr>
              <w:t>,</w:t>
            </w:r>
            <w:r>
              <w:rPr>
                <w:color w:val="000000"/>
              </w:rPr>
              <w:t xml:space="preserve"> nitrogen and phosphorus and </w:t>
            </w:r>
            <w:r w:rsidRPr="00D977A9">
              <w:rPr>
                <w:color w:val="000000"/>
              </w:rPr>
              <w:t xml:space="preserve">associated </w:t>
            </w:r>
            <w:r>
              <w:rPr>
                <w:color w:val="000000"/>
              </w:rPr>
              <w:t>organic matter) or</w:t>
            </w:r>
            <w:r w:rsidRPr="00B316F4">
              <w:rPr>
                <w:color w:val="000000"/>
              </w:rPr>
              <w:t xml:space="preserve"> </w:t>
            </w:r>
            <w:r w:rsidRPr="00D977A9">
              <w:rPr>
                <w:b/>
                <w:color w:val="000000"/>
              </w:rPr>
              <w:t>condition</w:t>
            </w:r>
            <w:r w:rsidRPr="00B316F4">
              <w:rPr>
                <w:color w:val="000000"/>
              </w:rPr>
              <w:t>s</w:t>
            </w:r>
            <w:r>
              <w:rPr>
                <w:color w:val="000000"/>
              </w:rPr>
              <w:t>, such as altered physical habitat, temperature, hydrology, etc. that can cause eutrophication.</w:t>
            </w:r>
          </w:p>
        </w:tc>
      </w:tr>
      <w:tr w:rsidR="008A388C" w14:paraId="418A4B5B" w14:textId="77777777" w:rsidTr="00797664">
        <w:tc>
          <w:tcPr>
            <w:tcW w:w="9350" w:type="dxa"/>
            <w:shd w:val="clear" w:color="auto" w:fill="auto"/>
          </w:tcPr>
          <w:p w14:paraId="1D00C4CA" w14:textId="68ADC03E" w:rsidR="008A388C" w:rsidRPr="000C3979" w:rsidRDefault="008A388C" w:rsidP="00797664">
            <w:pPr>
              <w:spacing w:after="120"/>
              <w:jc w:val="both"/>
              <w:rPr>
                <w:color w:val="000000"/>
              </w:rPr>
            </w:pPr>
            <w:r w:rsidRPr="000C3979">
              <w:rPr>
                <w:color w:val="000000"/>
              </w:rPr>
              <w:t>2. Assessment of biostimulatory impacts is based on the diagnosis of eutrophication and its consequences (e.g.</w:t>
            </w:r>
            <w:r w:rsidR="00AA04C7">
              <w:rPr>
                <w:color w:val="000000"/>
              </w:rPr>
              <w:t>,</w:t>
            </w:r>
            <w:r w:rsidRPr="000C3979">
              <w:rPr>
                <w:color w:val="000000"/>
              </w:rPr>
              <w:t xml:space="preserve"> poor odors and taste, cyanotoxins); inclusion of causal nutrients or other biostimulatory drivers are part of a comprehensive causal assessment and risk prevention approach.</w:t>
            </w:r>
          </w:p>
        </w:tc>
      </w:tr>
      <w:tr w:rsidR="008A388C" w14:paraId="64868B1B" w14:textId="77777777" w:rsidTr="00797664">
        <w:tc>
          <w:tcPr>
            <w:tcW w:w="9350" w:type="dxa"/>
            <w:shd w:val="clear" w:color="auto" w:fill="auto"/>
          </w:tcPr>
          <w:p w14:paraId="7179B0F5" w14:textId="77777777" w:rsidR="008A388C" w:rsidRPr="000C3979" w:rsidRDefault="008A388C" w:rsidP="00797664">
            <w:pPr>
              <w:spacing w:after="120"/>
              <w:jc w:val="both"/>
              <w:rPr>
                <w:color w:val="000000"/>
              </w:rPr>
            </w:pPr>
            <w:r w:rsidRPr="000C3979">
              <w:rPr>
                <w:color w:val="000000"/>
              </w:rPr>
              <w:t>3. Biostimulatory impacts to beneficial uses will be assessed through an assessment framework developed for each waterbody type, with indicators that represent lines of evidence.</w:t>
            </w:r>
          </w:p>
        </w:tc>
      </w:tr>
      <w:tr w:rsidR="008A388C" w14:paraId="6D65D97C" w14:textId="77777777" w:rsidTr="00797664">
        <w:tc>
          <w:tcPr>
            <w:tcW w:w="9350" w:type="dxa"/>
            <w:shd w:val="clear" w:color="auto" w:fill="auto"/>
          </w:tcPr>
          <w:p w14:paraId="18937E6D" w14:textId="77777777" w:rsidR="008A388C" w:rsidRPr="000C3979" w:rsidRDefault="008A388C" w:rsidP="00797664">
            <w:pPr>
              <w:spacing w:after="120"/>
              <w:jc w:val="both"/>
              <w:rPr>
                <w:color w:val="000000"/>
              </w:rPr>
            </w:pPr>
            <w:r w:rsidRPr="000C3979">
              <w:rPr>
                <w:color w:val="000000"/>
              </w:rPr>
              <w:t>4. Assessment of biostimulatory impacts should consider evidence for impacts to both human and wildlife (aquatic and terrestrial) related beneficial uses.</w:t>
            </w:r>
          </w:p>
        </w:tc>
      </w:tr>
      <w:tr w:rsidR="008A388C" w14:paraId="230DA8AC" w14:textId="77777777" w:rsidTr="00797664">
        <w:tc>
          <w:tcPr>
            <w:tcW w:w="9350" w:type="dxa"/>
            <w:shd w:val="clear" w:color="auto" w:fill="auto"/>
          </w:tcPr>
          <w:p w14:paraId="77556B98" w14:textId="3C63FAEA" w:rsidR="008A388C" w:rsidRDefault="008A388C" w:rsidP="00797664">
            <w:pPr>
              <w:spacing w:after="120"/>
              <w:jc w:val="both"/>
              <w:rPr>
                <w:b/>
                <w:i/>
                <w:color w:val="000000"/>
              </w:rPr>
            </w:pPr>
            <w:r>
              <w:rPr>
                <w:color w:val="000000"/>
              </w:rPr>
              <w:t>5. Statewide indices</w:t>
            </w:r>
            <w:r>
              <w:rPr>
                <w:b/>
                <w:i/>
                <w:color w:val="000000"/>
              </w:rPr>
              <w:t xml:space="preserve"> </w:t>
            </w:r>
            <w:r w:rsidRPr="000C3979">
              <w:rPr>
                <w:color w:val="000000"/>
              </w:rPr>
              <w:t>of</w:t>
            </w:r>
            <w:r>
              <w:rPr>
                <w:b/>
                <w:i/>
                <w:color w:val="000000"/>
              </w:rPr>
              <w:t xml:space="preserve"> biological integrity</w:t>
            </w:r>
            <w:r>
              <w:rPr>
                <w:color w:val="000000"/>
              </w:rPr>
              <w:t xml:space="preserve"> can be used as </w:t>
            </w:r>
            <w:r w:rsidRPr="00B316F4">
              <w:rPr>
                <w:color w:val="000000"/>
              </w:rPr>
              <w:t>assessment endpoints</w:t>
            </w:r>
            <w:r>
              <w:rPr>
                <w:color w:val="000000"/>
              </w:rPr>
              <w:t xml:space="preserve"> from which to derive ranges of biostimulatory </w:t>
            </w:r>
            <w:r w:rsidR="000C3979">
              <w:rPr>
                <w:color w:val="000000"/>
              </w:rPr>
              <w:t xml:space="preserve">targets </w:t>
            </w:r>
            <w:r>
              <w:rPr>
                <w:color w:val="000000"/>
              </w:rPr>
              <w:t>that are protective of aquatic life related beneficial uses.</w:t>
            </w:r>
          </w:p>
        </w:tc>
      </w:tr>
      <w:tr w:rsidR="008A388C" w14:paraId="22413C43" w14:textId="77777777" w:rsidTr="00797664">
        <w:tc>
          <w:tcPr>
            <w:tcW w:w="9350" w:type="dxa"/>
            <w:shd w:val="clear" w:color="auto" w:fill="auto"/>
          </w:tcPr>
          <w:p w14:paraId="5E0C8B1A" w14:textId="1823D896" w:rsidR="008A388C" w:rsidRDefault="008A388C" w:rsidP="00797664">
            <w:pPr>
              <w:spacing w:after="120"/>
              <w:jc w:val="both"/>
              <w:rPr>
                <w:b/>
                <w:i/>
                <w:color w:val="000000"/>
              </w:rPr>
            </w:pPr>
            <w:r>
              <w:rPr>
                <w:color w:val="000000"/>
              </w:rPr>
              <w:t xml:space="preserve">6. </w:t>
            </w:r>
            <w:r w:rsidR="006E7877" w:rsidRPr="006E7877">
              <w:rPr>
                <w:color w:val="000000"/>
              </w:rPr>
              <w:t xml:space="preserve">To </w:t>
            </w:r>
            <w:r w:rsidR="00AB04E2">
              <w:rPr>
                <w:color w:val="000000"/>
              </w:rPr>
              <w:t>address</w:t>
            </w:r>
            <w:r w:rsidR="006E7877" w:rsidRPr="006E7877">
              <w:rPr>
                <w:color w:val="000000"/>
              </w:rPr>
              <w:t xml:space="preserve"> total “biostimulatory” potential, thresholds should be based on total nutrients (as opposed to dissolved inorganic form) and for both nitrogen and phosphorus, as opposed to just controlling what is considered </w:t>
            </w:r>
            <w:r w:rsidR="006E7877">
              <w:rPr>
                <w:color w:val="000000"/>
              </w:rPr>
              <w:t xml:space="preserve">the </w:t>
            </w:r>
            <w:r w:rsidR="006E7877" w:rsidRPr="006E7877">
              <w:rPr>
                <w:color w:val="000000"/>
              </w:rPr>
              <w:t xml:space="preserve">limiting </w:t>
            </w:r>
            <w:r w:rsidR="006E7877">
              <w:rPr>
                <w:color w:val="000000"/>
              </w:rPr>
              <w:t xml:space="preserve">nutrient </w:t>
            </w:r>
            <w:r w:rsidR="006E7877" w:rsidRPr="006E7877">
              <w:rPr>
                <w:color w:val="000000"/>
              </w:rPr>
              <w:t>on-site (either nitrogen or phosphorus).</w:t>
            </w:r>
          </w:p>
        </w:tc>
      </w:tr>
      <w:tr w:rsidR="008A388C" w14:paraId="2A142E25" w14:textId="77777777" w:rsidTr="00797664">
        <w:tc>
          <w:tcPr>
            <w:tcW w:w="9350" w:type="dxa"/>
            <w:shd w:val="clear" w:color="auto" w:fill="auto"/>
          </w:tcPr>
          <w:p w14:paraId="3BB1ABAF" w14:textId="77777777" w:rsidR="008A388C" w:rsidRDefault="008A388C" w:rsidP="00797664">
            <w:pPr>
              <w:spacing w:after="120"/>
              <w:jc w:val="both"/>
              <w:rPr>
                <w:b/>
                <w:i/>
                <w:color w:val="000000"/>
              </w:rPr>
            </w:pPr>
            <w:r>
              <w:rPr>
                <w:color w:val="000000"/>
              </w:rPr>
              <w:t xml:space="preserve">7. Eutrophication symptoms may be caused by biostimulatory </w:t>
            </w:r>
            <w:r w:rsidRPr="00D977A9">
              <w:rPr>
                <w:color w:val="000000"/>
              </w:rPr>
              <w:t>drivers</w:t>
            </w:r>
            <w:r>
              <w:rPr>
                <w:color w:val="000000"/>
              </w:rPr>
              <w:t xml:space="preserve"> far-field from the waterbody, and thus assessment </w:t>
            </w:r>
            <w:r w:rsidRPr="00D977A9">
              <w:rPr>
                <w:color w:val="000000"/>
              </w:rPr>
              <w:t>of biostimulatory impacts</w:t>
            </w:r>
            <w:r>
              <w:rPr>
                <w:b/>
                <w:i/>
                <w:color w:val="000000"/>
              </w:rPr>
              <w:t xml:space="preserve"> </w:t>
            </w:r>
            <w:r>
              <w:rPr>
                <w:color w:val="000000"/>
              </w:rPr>
              <w:t xml:space="preserve">should take a watershed-wide approach. </w:t>
            </w:r>
          </w:p>
        </w:tc>
      </w:tr>
      <w:tr w:rsidR="008A388C" w14:paraId="6A50D055" w14:textId="77777777" w:rsidTr="00797664">
        <w:tc>
          <w:tcPr>
            <w:tcW w:w="9350" w:type="dxa"/>
            <w:shd w:val="clear" w:color="auto" w:fill="auto"/>
          </w:tcPr>
          <w:p w14:paraId="633B058D" w14:textId="77777777" w:rsidR="008A388C" w:rsidRDefault="008A388C" w:rsidP="00797664">
            <w:pPr>
              <w:spacing w:after="120"/>
              <w:jc w:val="both"/>
              <w:rPr>
                <w:b/>
                <w:i/>
                <w:color w:val="000000"/>
              </w:rPr>
            </w:pPr>
            <w:r>
              <w:rPr>
                <w:color w:val="000000"/>
              </w:rPr>
              <w:t xml:space="preserve">8. Biostimulatory conditions </w:t>
            </w:r>
            <w:r w:rsidRPr="00D977A9">
              <w:rPr>
                <w:color w:val="000000"/>
              </w:rPr>
              <w:t>can</w:t>
            </w:r>
            <w:r>
              <w:rPr>
                <w:color w:val="000000"/>
              </w:rPr>
              <w:t xml:space="preserve"> be a focal point of development of watershed-specific numeric targets and adaptive management strategies.</w:t>
            </w:r>
          </w:p>
        </w:tc>
      </w:tr>
      <w:tr w:rsidR="008A388C" w14:paraId="138A2935" w14:textId="77777777" w:rsidTr="00797664">
        <w:tc>
          <w:tcPr>
            <w:tcW w:w="9350" w:type="dxa"/>
            <w:shd w:val="clear" w:color="auto" w:fill="auto"/>
          </w:tcPr>
          <w:p w14:paraId="39552C1D" w14:textId="77777777" w:rsidR="008A388C" w:rsidRDefault="008A388C" w:rsidP="00797664">
            <w:pPr>
              <w:spacing w:after="120"/>
              <w:jc w:val="both"/>
              <w:rPr>
                <w:b/>
                <w:i/>
                <w:color w:val="000000"/>
              </w:rPr>
            </w:pPr>
            <w:r>
              <w:rPr>
                <w:color w:val="000000"/>
              </w:rPr>
              <w:t xml:space="preserve">9. </w:t>
            </w:r>
            <w:r w:rsidRPr="00D977A9">
              <w:rPr>
                <w:color w:val="000000"/>
              </w:rPr>
              <w:t>Implementation options to address biostimulatory conditions and substances should recognize the complexity of these drivers and how they can vary spatially and temporally from watershed to watershed and among certain waterbodies.</w:t>
            </w:r>
          </w:p>
        </w:tc>
      </w:tr>
      <w:tr w:rsidR="008A388C" w14:paraId="72354BCA" w14:textId="77777777" w:rsidTr="00797664">
        <w:tc>
          <w:tcPr>
            <w:tcW w:w="9350" w:type="dxa"/>
            <w:shd w:val="clear" w:color="auto" w:fill="auto"/>
          </w:tcPr>
          <w:p w14:paraId="365B9379" w14:textId="77777777" w:rsidR="008A388C" w:rsidRDefault="008A388C" w:rsidP="00797664">
            <w:pPr>
              <w:spacing w:after="120"/>
              <w:jc w:val="both"/>
              <w:rPr>
                <w:b/>
                <w:i/>
                <w:color w:val="000000"/>
              </w:rPr>
            </w:pPr>
            <w:r>
              <w:rPr>
                <w:color w:val="000000"/>
              </w:rPr>
              <w:t>10.</w:t>
            </w:r>
            <w:r w:rsidRPr="000C3979">
              <w:rPr>
                <w:color w:val="000000"/>
              </w:rPr>
              <w:t xml:space="preserve"> Generic conceptual models of biostimulatory impacts to waterbodies, presented here, should be refined to illustrate key hypotheses for how biostimulatory substances and conditions are linked to eutrophication symptoms and their relationship to designated waterbody uses. </w:t>
            </w:r>
          </w:p>
        </w:tc>
      </w:tr>
    </w:tbl>
    <w:p w14:paraId="01A9857D" w14:textId="77777777" w:rsidR="008A388C" w:rsidRDefault="008A388C" w:rsidP="008A388C">
      <w:pPr>
        <w:jc w:val="both"/>
      </w:pPr>
    </w:p>
    <w:p w14:paraId="5F72BEAF" w14:textId="3C3AE659" w:rsidR="008A388C" w:rsidRDefault="008A388C" w:rsidP="008A388C">
      <w:r>
        <w:rPr>
          <w:b/>
          <w:i/>
        </w:rPr>
        <w:tab/>
        <w:t>1</w:t>
      </w:r>
      <w:r w:rsidR="006C7FF4">
        <w:rPr>
          <w:b/>
          <w:i/>
        </w:rPr>
        <w:t>.</w:t>
      </w:r>
      <w:r>
        <w:rPr>
          <w:b/>
          <w:i/>
        </w:rPr>
        <w:t xml:space="preserve"> “Biostimulatory” is defined as to substances such as nutrients (i.e. nitrogen and phosphorus and associated organic matter) or conditions, such as altered physical habitat, temperature, hydrology, etc. that can </w:t>
      </w:r>
      <w:r w:rsidRPr="00D977A9">
        <w:rPr>
          <w:b/>
        </w:rPr>
        <w:t>cause eutrophication</w:t>
      </w:r>
      <w:r>
        <w:rPr>
          <w:b/>
        </w:rPr>
        <w:t xml:space="preserve">. </w:t>
      </w:r>
      <w:r>
        <w:t xml:space="preserve">Eutrophication is </w:t>
      </w:r>
      <w:r w:rsidRPr="00BB2999">
        <w:t>defined as the accelerated accumulation of organic matter from in situ process or external loading (Nixon 1995) and is driven by a suite of natural and anthropogenic factors such as substances (e.g.</w:t>
      </w:r>
      <w:r w:rsidR="006C7FF4" w:rsidRPr="00BB2999">
        <w:t>,</w:t>
      </w:r>
      <w:r w:rsidRPr="00BB2999">
        <w:t xml:space="preserve"> nutrients --nitrogen, phosphorus</w:t>
      </w:r>
      <w:r>
        <w:t>, silica and associated organic matter) and conditions (e.g.</w:t>
      </w:r>
      <w:r w:rsidR="006C7FF4">
        <w:t>,</w:t>
      </w:r>
      <w:r>
        <w:t xml:space="preserve"> hydromodification, temperature and light regime changes, physical habitat modification, etc.).  While Regional Board Basin Plan narrativ</w:t>
      </w:r>
      <w:r w:rsidR="00D7252F">
        <w:t>e objectives specify substances</w:t>
      </w:r>
      <w:r>
        <w:t xml:space="preserve">, a suite of recent TMDLS has interpreted the objective more broadly to include </w:t>
      </w:r>
      <w:r w:rsidRPr="00184564">
        <w:t>conditions (Klamath River nutrient TMDL, Loma Alta Slough TMDL, etc.).</w:t>
      </w:r>
      <w:r>
        <w:t xml:space="preserve"> </w:t>
      </w:r>
    </w:p>
    <w:p w14:paraId="500A3B35" w14:textId="2A41E215" w:rsidR="008A388C" w:rsidRPr="00BB2999" w:rsidRDefault="008A388C" w:rsidP="008A388C">
      <w:pPr>
        <w:jc w:val="both"/>
      </w:pPr>
      <w:r>
        <w:rPr>
          <w:b/>
          <w:i/>
        </w:rPr>
        <w:tab/>
        <w:t>2</w:t>
      </w:r>
      <w:r w:rsidR="006C7FF4">
        <w:rPr>
          <w:b/>
          <w:i/>
        </w:rPr>
        <w:t>.</w:t>
      </w:r>
      <w:r>
        <w:rPr>
          <w:b/>
          <w:i/>
        </w:rPr>
        <w:t xml:space="preserve"> Assessment of biostimulatory impacts is based on the diagnosis of eutrophication or other adverse effects and its consequences; inclusion of causal biostimulatory drivers </w:t>
      </w:r>
      <w:r w:rsidR="006C7FF4">
        <w:rPr>
          <w:b/>
          <w:i/>
        </w:rPr>
        <w:t xml:space="preserve">is </w:t>
      </w:r>
      <w:r>
        <w:rPr>
          <w:b/>
          <w:i/>
        </w:rPr>
        <w:t>part of a comprehensive causal assessment and risk prevention approach.</w:t>
      </w:r>
      <w:r>
        <w:rPr>
          <w:b/>
        </w:rPr>
        <w:t xml:space="preserve"> </w:t>
      </w:r>
      <w:r>
        <w:t>Eutrophication (</w:t>
      </w:r>
      <w:r w:rsidRPr="00BB2999">
        <w:t>response) indicators and causal biostimulatory indicators should be used to assess biostimulatory impacts; Table 2.3; Cloern et al. 2001, Paerl et al. 2011). The rationale relates to causal pathways; ecological response to biostimulatory substances and conditions causes adverse effects that impair uses. Highlighting response indicators reduces the likelihood of false negatives and false positives in diagnosing impacts to beneficial uses. In some cases, nutrients themselves can directly impair beneficial uses through toxicity (e.g.</w:t>
      </w:r>
      <w:r w:rsidR="006C7FF4" w:rsidRPr="00BB2999">
        <w:t>,</w:t>
      </w:r>
      <w:r w:rsidRPr="00BB2999">
        <w:t xml:space="preserve"> ammonia) or by exceeding the range of organismal tolerances, but evidence of biostimulatory impacts and information on causal pathways are strengthened by the inclusion of one or more response parameters, including eutrophication, biological integrity, or human use measures (e.g.</w:t>
      </w:r>
      <w:r w:rsidR="006C7FF4" w:rsidRPr="00BB2999">
        <w:t>,</w:t>
      </w:r>
      <w:r w:rsidRPr="00BB2999">
        <w:t xml:space="preserve"> cyanotoxins).  </w:t>
      </w:r>
      <w:bookmarkStart w:id="133" w:name="_Hlk526135101"/>
      <w:r w:rsidRPr="00BB2999">
        <w:t>These concepts are consistent with recent EPA guidance on combined use of response and causal drivers to establish nutrient criteria (EPA 2013).</w:t>
      </w:r>
      <w:bookmarkEnd w:id="133"/>
      <w:r w:rsidRPr="00BB2999">
        <w:t xml:space="preserve"> When possible, the use of multiple indicators in a “weight of evidence” approach provides a more robust means to assess ecological condition, determine causal pathways of impairment, and to inform management options to address the impairment (Karr and Chu 1999).  </w:t>
      </w:r>
    </w:p>
    <w:p w14:paraId="13B3EA7A" w14:textId="7EE317C6" w:rsidR="008A388C" w:rsidRDefault="008A388C" w:rsidP="00B12591">
      <w:pPr>
        <w:spacing w:after="120"/>
      </w:pPr>
      <w:bookmarkStart w:id="134" w:name="_4f1mdlm" w:colFirst="0" w:colLast="0"/>
      <w:bookmarkEnd w:id="134"/>
      <w:r w:rsidRPr="00BB2999">
        <w:rPr>
          <w:b/>
          <w:i/>
          <w:color w:val="000000"/>
        </w:rPr>
        <w:tab/>
        <w:t xml:space="preserve">3. Biostimulatory impacts to beneficial uses </w:t>
      </w:r>
      <w:r w:rsidR="00B12591" w:rsidRPr="00BB2999">
        <w:rPr>
          <w:b/>
          <w:i/>
          <w:color w:val="000000"/>
        </w:rPr>
        <w:t xml:space="preserve">can </w:t>
      </w:r>
      <w:r w:rsidRPr="00BB2999">
        <w:rPr>
          <w:b/>
          <w:i/>
          <w:color w:val="000000"/>
        </w:rPr>
        <w:t>be assessed through a framework developed for each waterbody type, with eutrophication indicators that represent lines of evidence</w:t>
      </w:r>
      <w:r>
        <w:rPr>
          <w:b/>
          <w:i/>
          <w:color w:val="000000"/>
        </w:rPr>
        <w:t>.</w:t>
      </w:r>
      <w:r>
        <w:t xml:space="preserve"> Water Board staff guidance on biostimulatory impact assessment can be supported by scientific evaluations of available eutrophication indicators</w:t>
      </w:r>
      <w:r w:rsidR="00196478">
        <w:t xml:space="preserve">. These evaluations should yield an understaning of the confidence in that </w:t>
      </w:r>
      <w:r w:rsidR="00B12591">
        <w:t xml:space="preserve">indicator </w:t>
      </w:r>
      <w:r w:rsidR="00196478">
        <w:t xml:space="preserve">to </w:t>
      </w:r>
      <w:r w:rsidR="00B12591">
        <w:t xml:space="preserve">represents a primary or supporting line of evidence. A </w:t>
      </w:r>
      <w:r w:rsidR="00B12591" w:rsidRPr="00B12591">
        <w:t xml:space="preserve">primary line of evidence </w:t>
      </w:r>
      <w:r w:rsidR="00196478">
        <w:t xml:space="preserve">designates </w:t>
      </w:r>
      <w:r w:rsidR="00B12591" w:rsidRPr="00B12591">
        <w:t xml:space="preserve">a higher level of confidence that </w:t>
      </w:r>
      <w:r w:rsidR="00196478">
        <w:t>this indicator</w:t>
      </w:r>
      <w:r w:rsidR="00B12591" w:rsidRPr="00B12591">
        <w:t xml:space="preserve"> can be used to assess </w:t>
      </w:r>
      <w:r w:rsidR="00196478">
        <w:t>eutrophicatoin</w:t>
      </w:r>
      <w:r w:rsidR="00B12591" w:rsidRPr="00B12591">
        <w:t xml:space="preserve">, based on a wealth of experience and knowledge about how this indicator captures and represents ecological response.  Other indicators that do not meet that level of confidence may be used </w:t>
      </w:r>
      <w:r w:rsidR="00B12591" w:rsidRPr="00BB2999">
        <w:t>as supporting lines of evidence</w:t>
      </w:r>
      <w:r w:rsidRPr="00BB2999">
        <w:t xml:space="preserve">. </w:t>
      </w:r>
      <w:bookmarkStart w:id="135" w:name="_Hlk526135124"/>
      <w:r w:rsidRPr="00BB2999">
        <w:t>Four evaluation criteria were chosen by regulatory and stakeholder advisory groups (Sutula 2011) to evaluate eutrophication indicators for eutrophication assessment, in estuaries and enclosed bays (e.g.</w:t>
      </w:r>
      <w:r w:rsidR="006C7FF4" w:rsidRPr="00BB2999">
        <w:t>,</w:t>
      </w:r>
      <w:r w:rsidRPr="00BB2999">
        <w:t xml:space="preserve"> Sutula 2011, Sutula and Senn 2016) and wadeable streams </w:t>
      </w:r>
      <w:r w:rsidRPr="00184564">
        <w:t>(Fetscher et al. 2014, Sutula et al. 2018):</w:t>
      </w:r>
      <w:bookmarkEnd w:id="135"/>
      <w:r w:rsidRPr="00184564">
        <w:t xml:space="preserve"> </w:t>
      </w:r>
      <w:r w:rsidR="00B12591" w:rsidRPr="00184564">
        <w:t xml:space="preserve">1) </w:t>
      </w:r>
      <w:r w:rsidRPr="00184564">
        <w:t>response indicator has documented linkages to beneficial u</w:t>
      </w:r>
      <w:r>
        <w:t xml:space="preserve">ses; </w:t>
      </w:r>
      <w:r w:rsidR="00B12591">
        <w:t xml:space="preserve">2) </w:t>
      </w:r>
      <w:r>
        <w:t xml:space="preserve">the indicator has a well-vetted and cost-effective means of measurement; </w:t>
      </w:r>
      <w:r w:rsidR="00B12591">
        <w:t xml:space="preserve">3) </w:t>
      </w:r>
      <w:r>
        <w:t>science exists to model the relationship between the response indicator and biostimulatory substances (e.g.</w:t>
      </w:r>
      <w:r w:rsidR="006C7FF4">
        <w:t>,</w:t>
      </w:r>
      <w:r>
        <w:t xml:space="preserve"> nutrients) or biostimulatory conditions; and </w:t>
      </w:r>
      <w:r w:rsidR="00B12591">
        <w:t>4) t</w:t>
      </w:r>
      <w:r>
        <w:t xml:space="preserve">he indicator has a proven track record of acceptable signal to noise ratio for eutrophication assessment. </w:t>
      </w:r>
      <w:r w:rsidR="00B12591">
        <w:t xml:space="preserve">Taken together, these evaluation criteria can be used to judge whether an indicator qualifies as a primary or supporting line of evidence. </w:t>
      </w:r>
    </w:p>
    <w:p w14:paraId="783705D0" w14:textId="17D9745D" w:rsidR="008A388C" w:rsidRDefault="008A388C" w:rsidP="008A388C">
      <w:pPr>
        <w:jc w:val="both"/>
        <w:rPr>
          <w:i/>
        </w:rPr>
      </w:pPr>
      <w:r>
        <w:rPr>
          <w:b/>
          <w:i/>
        </w:rPr>
        <w:tab/>
        <w:t xml:space="preserve">4. Assessment of biostimulatory impacts should consider evidence for impacts to both human and wildlife (aquatic and terrestrial) related uses. </w:t>
      </w:r>
      <w:r>
        <w:t>Eutrophication has the potential to impact human uses through direct impacts to human health (e.g.</w:t>
      </w:r>
      <w:r w:rsidR="006C7FF4">
        <w:t>,</w:t>
      </w:r>
      <w:r>
        <w:t xml:space="preserve"> HAB toxins via REC1 and MUN) and other services (e.g.</w:t>
      </w:r>
      <w:r w:rsidR="006C7FF4">
        <w:t>,</w:t>
      </w:r>
      <w:r>
        <w:t xml:space="preserve"> aquatic macrophytes that choke intake on industrial or municipal water intake valves, impacts to aesthetic recreational experiences). Other aquatic and terrestrial wildlife related beneficial uses can be impacted through a variety of impairment pathways. While statewide numeric guidance for assessment of biostimulatory impacts may be focused on a selected suite of standardized monitoring indicators and protocols that are broadly representative of aquatic life or biological integrity (e.g.</w:t>
      </w:r>
      <w:r w:rsidR="006C7FF4">
        <w:t>,</w:t>
      </w:r>
      <w:r>
        <w:t xml:space="preserve"> benthic macroinvertebrates and algae), assessment should consider any supporting lines of evidence that link to all uses designated for that waterbody.</w:t>
      </w:r>
    </w:p>
    <w:p w14:paraId="71E6EA71" w14:textId="51D499F2" w:rsidR="008A388C" w:rsidRDefault="008A388C" w:rsidP="008A388C">
      <w:pPr>
        <w:jc w:val="both"/>
        <w:rPr>
          <w:i/>
        </w:rPr>
      </w:pPr>
      <w:r>
        <w:rPr>
          <w:b/>
          <w:i/>
        </w:rPr>
        <w:tab/>
        <w:t>5. Statewide bioassessment indices, can be used as assessment endpoints from which to derive ranges of nutrients and biostimulatory conditions that are protective of aquatic life related beneficial uses</w:t>
      </w:r>
      <w:r>
        <w:rPr>
          <w:i/>
        </w:rPr>
        <w:t xml:space="preserve">. </w:t>
      </w:r>
      <w:r>
        <w:t>Statewide bioassessment indices such as CSCI, ASCI and AMBI are state accepted measures of aquatic life related beneficial uses (e.g.</w:t>
      </w:r>
      <w:r w:rsidR="006C7FF4">
        <w:t>,</w:t>
      </w:r>
      <w:r>
        <w:t xml:space="preserve"> WARM, COLD, EST, MAR). Protection goals for these indices (e.g. </w:t>
      </w:r>
      <w:r w:rsidRPr="00BB2999">
        <w:t>Mazor et al. 2016) can serve as “assessment endpoints” from which to derive the ranges of nutrients and biostimulatory conditions (flow, temperature, etc.) that are protective of aquatic life (e.g.</w:t>
      </w:r>
      <w:r w:rsidR="006C7FF4" w:rsidRPr="00BB2999">
        <w:t>,</w:t>
      </w:r>
      <w:r w:rsidRPr="00BB2999">
        <w:t xml:space="preserve"> have a low risk of impacting uses). In this fashion, policies and approaches that support biointegrity and biostimulatory can be synergistic</w:t>
      </w:r>
      <w:r>
        <w:t xml:space="preserve">, recognizing that biostimulatory drivers are a major category of causal pathways by which biointegrity may become impaired. Bioassessment indices may be used for assessment of eutrophication as a line of evidence of impaired biointegrity; however, because these indices are constructed to be responsive to generalized stressor gradients, they are not diagnostic of eutrophication. Evidence for indicators such as those presented in Table 2.3 should be included in the assessment framework to confirm the biostimulatory impacts as a causal pathway. </w:t>
      </w:r>
    </w:p>
    <w:p w14:paraId="42BCEC9C" w14:textId="6100FE2C" w:rsidR="008A388C" w:rsidRPr="00BB2999" w:rsidRDefault="008A388C" w:rsidP="008A388C">
      <w:pPr>
        <w:jc w:val="both"/>
      </w:pPr>
      <w:r>
        <w:rPr>
          <w:b/>
          <w:i/>
        </w:rPr>
        <w:tab/>
        <w:t xml:space="preserve">6. </w:t>
      </w:r>
      <w:r w:rsidR="00AB04E2" w:rsidRPr="00AB04E2">
        <w:rPr>
          <w:b/>
          <w:i/>
        </w:rPr>
        <w:t xml:space="preserve">To address total “biostimulatory” potential, </w:t>
      </w:r>
      <w:r w:rsidR="00AB04E2">
        <w:rPr>
          <w:b/>
          <w:i/>
        </w:rPr>
        <w:t>numeric targets</w:t>
      </w:r>
      <w:r w:rsidR="00AB04E2" w:rsidRPr="00AB04E2">
        <w:rPr>
          <w:b/>
          <w:i/>
        </w:rPr>
        <w:t xml:space="preserve"> should be based on total nutrients (as opposed to dissolved inorganic form) and for both nitrogen and phosphorus, as opposed to just controlling what is considered the limiting nutrient on-site (either nitrogen or phosphorus).</w:t>
      </w:r>
      <w:r>
        <w:rPr>
          <w:b/>
          <w:i/>
        </w:rPr>
        <w:t xml:space="preserve"> </w:t>
      </w:r>
      <w:bookmarkStart w:id="136" w:name="_Hlk526135158"/>
      <w:r>
        <w:t>Even though anthropogenic nutrient pollution typically results in elevated dissolved inorganic nitrogen and phosphorus (e.g.</w:t>
      </w:r>
      <w:r w:rsidR="006C7FF4">
        <w:t>,</w:t>
      </w:r>
      <w:r>
        <w:t xml:space="preserve"> nitrate, ammonium, phosphate), numerous studies support the use of total nitrogen (TN) and total phosphorus (TP) as nutrient </w:t>
      </w:r>
      <w:r w:rsidRPr="00A175D3">
        <w:t>targets (</w:t>
      </w:r>
      <w:r w:rsidR="00A175D3" w:rsidRPr="00A175D3">
        <w:t>Paerl et al. 2011</w:t>
      </w:r>
      <w:r w:rsidRPr="00A175D3">
        <w:t xml:space="preserve">), </w:t>
      </w:r>
      <w:bookmarkEnd w:id="136"/>
      <w:r w:rsidRPr="00A175D3">
        <w:t xml:space="preserve">because high dissolved organic N and P released in point </w:t>
      </w:r>
      <w:r w:rsidRPr="00BB2999">
        <w:t>and nonpoint sources, algal and plant biomass etc. can be subsequently remineralized to dissolved inorganic nutrients and therefore made bioavailable to further fuel eutrophication</w:t>
      </w:r>
      <w:r w:rsidR="00122E67" w:rsidRPr="00BB2999">
        <w:t>, albeit over longer timescales (</w:t>
      </w:r>
      <w:r w:rsidR="00861772" w:rsidRPr="00BB2999">
        <w:t>Fan et al. 2017)</w:t>
      </w:r>
      <w:r w:rsidRPr="00BB2999">
        <w:t xml:space="preserve">.  Establishment of nutrient targets should include both N and P limits, because aquatic primary producer responses to single nutrient reduction strategies (N or P) may exacerbate eutrophication problems and impacts on uses (Paerl et al. 2011). Organic matter may be part of the TN and TP targets in surface waters, or separate targets can be established to represent organic matter in benthos (benthic chlorophyll-a or organic carbon) or sediment (sediment percent organic carbon).  </w:t>
      </w:r>
    </w:p>
    <w:p w14:paraId="49BF308F" w14:textId="7387B8A5" w:rsidR="008A388C" w:rsidRDefault="008A388C" w:rsidP="008A388C">
      <w:pPr>
        <w:jc w:val="both"/>
      </w:pPr>
      <w:r w:rsidRPr="00BB2999">
        <w:tab/>
      </w:r>
      <w:r w:rsidRPr="00BB2999">
        <w:rPr>
          <w:b/>
          <w:i/>
        </w:rPr>
        <w:t xml:space="preserve">8. Biostimulatory conditions can be a focal point of development of watershed- or waterbody specific numeric targets and adaptive management strategies. </w:t>
      </w:r>
      <w:r w:rsidRPr="00BB2999">
        <w:t>Eutrophication symptoms can be caused by factors other than or in addition to nutrients</w:t>
      </w:r>
      <w:r>
        <w:t xml:space="preserve"> and organic matter loading.</w:t>
      </w:r>
      <w:r w:rsidR="00B12591">
        <w:t xml:space="preserve"> </w:t>
      </w:r>
      <w:r>
        <w:t>In some cases, the level of nutrients may not cause eutrophication but modification of waterbody condition, such as loss of riparian habitat, results in the development of eutrophic conditions.</w:t>
      </w:r>
      <w:r w:rsidRPr="00D977A9">
        <w:rPr>
          <w:i/>
        </w:rPr>
        <w:t xml:space="preserve"> </w:t>
      </w:r>
      <w:r>
        <w:t>Mitigation of biostimulatory conditions through environmental flow management, low impact development, and watershed or waterbody restoration may be more cost effective than a sole focus on nutrient management alone.  In some cases, it may be possible to derive regional, watershed, or waterbody specific flow or temperature targets that are protective against eutrophication impacts. In other cases, derivation of numeric targets may not be possible, but proactive implementation of restoration strategies (e.g.</w:t>
      </w:r>
      <w:r w:rsidR="006C7FF4">
        <w:t>,</w:t>
      </w:r>
      <w:r>
        <w:t xml:space="preserve"> floodplain restoration, etc.) that improve physical habitat, restore natural hydroperiods, and reduce water temperatures or light availability may be effective in mitigating eutrophication. </w:t>
      </w:r>
    </w:p>
    <w:p w14:paraId="6642E37C" w14:textId="3957AF9A" w:rsidR="00A175D3" w:rsidRPr="00BB2999" w:rsidRDefault="008A388C" w:rsidP="00A175D3">
      <w:pPr>
        <w:jc w:val="both"/>
      </w:pPr>
      <w:r>
        <w:rPr>
          <w:b/>
          <w:i/>
        </w:rPr>
        <w:tab/>
        <w:t>7. Eutrophication symptoms may be caused by biostimulatory conditions far-field from the waterbody, and thus biostimulatory assessment should take a watershed-wide approach.</w:t>
      </w:r>
      <w:r>
        <w:rPr>
          <w:i/>
        </w:rPr>
        <w:t xml:space="preserve"> </w:t>
      </w:r>
      <w:r>
        <w:t>Eutrophication symptoms such as low dissolved oxygen, elevated HAB toxic concentrations, or poor benthic habitat quality can be the result of organic matter or toxin loading from upstream or distal sources. Such symptoms may be present without evidence of high onsite primary production (e.g.</w:t>
      </w:r>
      <w:r w:rsidR="006C7FF4">
        <w:t>,</w:t>
      </w:r>
      <w:r>
        <w:t xml:space="preserve"> elevated chlorophyll-a). </w:t>
      </w:r>
      <w:r w:rsidR="00A175D3">
        <w:t xml:space="preserve">Examples of this is the detection of high concentrations of freshwater cyanoHAB toxins in estuaries with low cyanoHAB cell densities (Peacock et al. 2018) and the impact of upstream benthic algal blooms on low dissolved oxygen in lower Santa Margarita River main stem (Sutula and Shultz 2018). There can be both spatial and temporal lags in symptoms linked to eutrophication drivers. For example, nutrient laden sediments from surface waters in the upper watershed can cause “internal sources” of nutrients via benthic flux in lakes and estuaries. </w:t>
      </w:r>
      <w:r w:rsidR="00A175D3" w:rsidRPr="00BB2999">
        <w:t>Contaminanted groundwater sources, particularly from agriculture (Harter et al. 2012), can be a source of eutrophication in surfaces waters (McLaughlin et al. 2013).</w:t>
      </w:r>
    </w:p>
    <w:p w14:paraId="6A9E9316" w14:textId="72BEC0A0" w:rsidR="008A388C" w:rsidRDefault="008A388C" w:rsidP="008A388C">
      <w:pPr>
        <w:jc w:val="both"/>
      </w:pPr>
      <w:r w:rsidRPr="00BB2999">
        <w:rPr>
          <w:b/>
          <w:i/>
        </w:rPr>
        <w:tab/>
        <w:t>9</w:t>
      </w:r>
      <w:r w:rsidR="006C7FF4" w:rsidRPr="00BB2999">
        <w:rPr>
          <w:b/>
          <w:i/>
        </w:rPr>
        <w:t>.</w:t>
      </w:r>
      <w:r w:rsidRPr="00BB2999">
        <w:rPr>
          <w:b/>
          <w:i/>
        </w:rPr>
        <w:t xml:space="preserve"> Management of biostimulatory</w:t>
      </w:r>
      <w:r>
        <w:rPr>
          <w:b/>
          <w:i/>
        </w:rPr>
        <w:t xml:space="preserve"> impacts to waterbodies should begin with conceptual model development that illustrates key hypothesis for how biostimulatory substances and conditions are linked to eutrophication symptoms and their relationship to designated waterbody uses.</w:t>
      </w:r>
      <w:r>
        <w:t xml:space="preserve"> Ultimately, an effort to develop watershed or waterbody nutrient management and restoration strategies should begin with development of a detailed conceptual model, followed by identification of the most significant risk hypotheses, and analysis of the actions necessary to minimize the risk and protect uses.  </w:t>
      </w:r>
    </w:p>
    <w:p w14:paraId="607DAD59" w14:textId="5D7CF80A" w:rsidR="008A388C" w:rsidRDefault="008A388C" w:rsidP="008A388C">
      <w:r>
        <w:rPr>
          <w:b/>
          <w:i/>
        </w:rPr>
        <w:tab/>
        <w:t>10</w:t>
      </w:r>
      <w:r w:rsidR="006C7FF4">
        <w:rPr>
          <w:b/>
          <w:i/>
        </w:rPr>
        <w:t>.</w:t>
      </w:r>
      <w:r>
        <w:rPr>
          <w:b/>
          <w:i/>
        </w:rPr>
        <w:t xml:space="preserve"> Management approaches to biostimulatory conditions and substances should recognize the complexity of these drivers and how they can vary spatially, temporally, from watershed to watershed and among waterbodies. </w:t>
      </w:r>
      <w:r>
        <w:t>Biostimulatory drivers can be local, regional or global in origin, with high temporal and spatial variability, and some component of natural background forcing that can contribute to eutrophication symptoms.  Biostimulatory drivers can be temporally and spatially variable, driven by factors such as complexity of land use within a watershed, climate forcing, and watershed and coastal hydrodynamics; seasonal or spatially-varying targets can help to address this complexity.  Natural background conditions (e.g.</w:t>
      </w:r>
      <w:r w:rsidR="006C7FF4">
        <w:t>,</w:t>
      </w:r>
      <w:r>
        <w:t xml:space="preserve"> geology, headwater springs) can produce locally-elevated nutrient concentrations or biostimulatory conditions that should be considered in the synthesis of biostimulatory drivers within a watershed.  Climate events such as drought, fires, flood events, etc.  can dramatically change biostimulatory conditions within a watershed for extended periods. This variability and the potential for natural background and event-driven biostimulatory conditions should be considered when establishing biostimulatory targets.  </w:t>
      </w:r>
    </w:p>
    <w:p w14:paraId="507020EC" w14:textId="4D665D6D" w:rsidR="008A388C" w:rsidRDefault="008A388C" w:rsidP="008A388C">
      <w:r>
        <w:tab/>
      </w:r>
      <w:bookmarkStart w:id="137" w:name="_Hlk526135198"/>
      <w:r>
        <w:t>California wide, annual estimates of natural, point and nonpoint sources of total nitrogen and total phosphorus are available at a watershed scale through the USGS SPARROW portal. This tool is an important starting point to prioritize nutrient management within a region and can guide</w:t>
      </w:r>
      <w:r w:rsidR="00B12591">
        <w:t xml:space="preserve"> </w:t>
      </w:r>
      <w:r>
        <w:t xml:space="preserve">data collection and assessment for sources within a specific watershed. Dynamic watershed loading and receiving water models are important tools to synthesize understanding of a fuller suite of biostimulatory drivers and eutrophication responses specific to each watershed or waterbody and to support conversation about potential implementation strategies. </w:t>
      </w:r>
    </w:p>
    <w:bookmarkEnd w:id="137"/>
    <w:p w14:paraId="78ABE5A8" w14:textId="77777777" w:rsidR="008A388C" w:rsidRDefault="008A388C" w:rsidP="008A388C"/>
    <w:p w14:paraId="75965BC2" w14:textId="77777777" w:rsidR="008A388C" w:rsidRDefault="008A388C" w:rsidP="00783E18">
      <w:pPr>
        <w:pStyle w:val="Heading1"/>
        <w:numPr>
          <w:ilvl w:val="0"/>
          <w:numId w:val="16"/>
        </w:numPr>
      </w:pPr>
      <w:bookmarkStart w:id="138" w:name="_Toc525589909"/>
      <w:bookmarkStart w:id="139" w:name="_Toc525595061"/>
      <w:bookmarkStart w:id="140" w:name="_Toc526196697"/>
      <w:r>
        <w:t>Summary</w:t>
      </w:r>
      <w:bookmarkEnd w:id="138"/>
      <w:bookmarkEnd w:id="139"/>
      <w:bookmarkEnd w:id="140"/>
    </w:p>
    <w:p w14:paraId="244B19E3" w14:textId="77777777" w:rsidR="008A388C" w:rsidRDefault="008A388C" w:rsidP="008A388C">
      <w:r>
        <w:t>This document summarizes the scientific foundation underpinning the consistent interpretation of a narrative biostimulatory objective applicable to all water body types in the State of California.  The review provides a synthesis of information with general conceptual models of risk pathways by which nutrient pollution and eutrophication can impair beneficial uses, specific to waterbody class. It also provides several fundamental principles for assessment, prevention and management of biostimulatory impacts applicable to all waterbodies.  These conceptual models, indicators, and guiding principles provide the initial basis for Water Board guidance to support the consistent application of a narrative biostimulatory objective across waterbody types, in advance of numeric guidance developed for each waterbody class. These waterbody class–specific technical documents will be published as appendices to this main document, as they become available.</w:t>
      </w:r>
    </w:p>
    <w:p w14:paraId="702CEF68" w14:textId="77777777" w:rsidR="008A388C" w:rsidRDefault="008A388C" w:rsidP="008A388C">
      <w:r>
        <w:br w:type="page"/>
      </w:r>
    </w:p>
    <w:p w14:paraId="2A1E50AC" w14:textId="77777777" w:rsidR="002767EC" w:rsidRPr="009F384D" w:rsidRDefault="002767EC" w:rsidP="002767EC">
      <w:pPr>
        <w:pStyle w:val="Heading1"/>
        <w:rPr>
          <w:b w:val="0"/>
        </w:rPr>
      </w:pPr>
      <w:r w:rsidRPr="009F384D">
        <w:t>5. References</w:t>
      </w:r>
    </w:p>
    <w:p w14:paraId="68099C3E" w14:textId="77777777" w:rsidR="002767EC" w:rsidRPr="009F384D" w:rsidRDefault="002767EC" w:rsidP="002767EC">
      <w:pPr>
        <w:rPr>
          <w:sz w:val="20"/>
          <w:szCs w:val="20"/>
          <w:lang w:val="en"/>
        </w:rPr>
      </w:pPr>
      <w:r w:rsidRPr="009F384D">
        <w:rPr>
          <w:sz w:val="20"/>
          <w:szCs w:val="20"/>
          <w:lang w:val="en"/>
        </w:rPr>
        <w:t xml:space="preserve">Ahn, C.-Y., Oh, H.-M., Park, Y.-S., 2011. Evaluation of Environmental Factors on Cyanobacterial Bloom in Eutrophic Reservoir Using Artificial Neural Networks1. Journal of Phycology 47, 495–504. </w:t>
      </w:r>
      <w:hyperlink r:id="rId73" w:history="1">
        <w:r w:rsidRPr="009F384D">
          <w:rPr>
            <w:sz w:val="20"/>
            <w:szCs w:val="20"/>
            <w:lang w:val="en"/>
          </w:rPr>
          <w:t>https://doi.org/10.1111/j.1529-8817.2011.00990.x</w:t>
        </w:r>
      </w:hyperlink>
    </w:p>
    <w:p w14:paraId="53BBD47C" w14:textId="77777777" w:rsidR="002767EC" w:rsidRPr="009F384D" w:rsidRDefault="002767EC" w:rsidP="002767EC">
      <w:pPr>
        <w:rPr>
          <w:sz w:val="20"/>
          <w:szCs w:val="20"/>
          <w:lang w:val="en"/>
        </w:rPr>
      </w:pPr>
      <w:r w:rsidRPr="009F384D">
        <w:rPr>
          <w:sz w:val="20"/>
          <w:szCs w:val="20"/>
          <w:lang w:val="en"/>
        </w:rPr>
        <w:t xml:space="preserve">Anderson, C.R., Siegel, D.A., Brzezinski, M.A., Guillocheau, N., 2008. Controls on temporal patterns in phytoplankton community structure in the Santa Barbara Channel, California. Journal of Geophysical Research: Oceans 113. </w:t>
      </w:r>
      <w:hyperlink r:id="rId74" w:history="1">
        <w:r w:rsidRPr="009F384D">
          <w:rPr>
            <w:sz w:val="20"/>
            <w:szCs w:val="20"/>
            <w:lang w:val="en"/>
          </w:rPr>
          <w:t>https://doi.org/10.1029/2007JC004321</w:t>
        </w:r>
      </w:hyperlink>
    </w:p>
    <w:p w14:paraId="67D36A58" w14:textId="77777777" w:rsidR="002767EC" w:rsidRPr="009F384D" w:rsidRDefault="002767EC" w:rsidP="002767EC">
      <w:pPr>
        <w:rPr>
          <w:sz w:val="20"/>
          <w:szCs w:val="20"/>
          <w:lang w:val="en"/>
        </w:rPr>
      </w:pPr>
      <w:r w:rsidRPr="009F384D">
        <w:rPr>
          <w:sz w:val="20"/>
          <w:szCs w:val="20"/>
          <w:lang w:val="en"/>
        </w:rPr>
        <w:t xml:space="preserve">Anderson, D.M., Cembella, A.D., Hallegraeff, G.M., 2012. Progress in Understanding Harmful Algal Blooms: Paradigm Shifts and New Technologies for Research, Monitoring, and Management. Annual Review of Marine Science 4, 143–176. </w:t>
      </w:r>
      <w:hyperlink r:id="rId75" w:history="1">
        <w:r w:rsidRPr="009F384D">
          <w:rPr>
            <w:sz w:val="20"/>
            <w:szCs w:val="20"/>
            <w:lang w:val="en"/>
          </w:rPr>
          <w:t>https://doi.org/10.1146/annurev-marine-120308-081121</w:t>
        </w:r>
      </w:hyperlink>
    </w:p>
    <w:p w14:paraId="34A38EE1" w14:textId="77777777" w:rsidR="002767EC" w:rsidRPr="009F384D" w:rsidRDefault="002767EC" w:rsidP="002767EC">
      <w:pPr>
        <w:rPr>
          <w:sz w:val="20"/>
          <w:szCs w:val="20"/>
          <w:lang w:val="en"/>
        </w:rPr>
      </w:pPr>
      <w:r w:rsidRPr="009F384D">
        <w:rPr>
          <w:sz w:val="20"/>
          <w:szCs w:val="20"/>
          <w:lang w:val="en"/>
        </w:rPr>
        <w:t>Anderson-Abbs, B., Howard, M., Taberski, K., Worcester, K., 2016. California Freshwater Harmful Algal Blooms Assessment and Support Strategy.</w:t>
      </w:r>
    </w:p>
    <w:p w14:paraId="01AD3093" w14:textId="77777777" w:rsidR="002767EC" w:rsidRPr="009F384D" w:rsidRDefault="002767EC" w:rsidP="002767EC">
      <w:pPr>
        <w:rPr>
          <w:sz w:val="20"/>
          <w:szCs w:val="20"/>
          <w:lang w:val="en"/>
        </w:rPr>
      </w:pPr>
      <w:r w:rsidRPr="009F384D">
        <w:rPr>
          <w:sz w:val="20"/>
          <w:szCs w:val="20"/>
          <w:lang w:val="en"/>
        </w:rPr>
        <w:t>Baily, H., Curran, C., Poucher, S., Sutula, M.A., 2014. Science Supporting Dissolved Oxygen Objectives for Suisun Marsh (Technical Report No. 830). Southern California Coastal Water Research Project, Costa Mesa, CA.</w:t>
      </w:r>
    </w:p>
    <w:p w14:paraId="6C2D1AEA" w14:textId="77777777" w:rsidR="002767EC" w:rsidRPr="009F384D" w:rsidRDefault="002767EC" w:rsidP="002767EC">
      <w:pPr>
        <w:rPr>
          <w:sz w:val="20"/>
          <w:szCs w:val="20"/>
          <w:lang w:val="en"/>
        </w:rPr>
      </w:pPr>
      <w:r w:rsidRPr="009F384D">
        <w:rPr>
          <w:sz w:val="20"/>
          <w:szCs w:val="20"/>
          <w:lang w:val="en"/>
        </w:rPr>
        <w:t xml:space="preserve">Bargu, S., Smith, E., Ozhan, K., 2011. Toxic Diatom Pseudo-nitzschia and Its Primary Consumers (Vectors), in: Seckbach, J., Kociolek, P. (Eds.), The Diatom World, Cellular Origin, Life in Extreme Habitats and Astrobiology. Springer Netherlands, Dordrecht, pp. 491–512. </w:t>
      </w:r>
      <w:hyperlink r:id="rId76" w:history="1">
        <w:r w:rsidRPr="009F384D">
          <w:rPr>
            <w:sz w:val="20"/>
            <w:szCs w:val="20"/>
            <w:lang w:val="en"/>
          </w:rPr>
          <w:t>https://doi.org/10.1007/978-94-007-1327-7_22</w:t>
        </w:r>
      </w:hyperlink>
    </w:p>
    <w:p w14:paraId="196E86F6" w14:textId="77777777" w:rsidR="002767EC" w:rsidRPr="009F384D" w:rsidRDefault="002767EC" w:rsidP="002767EC">
      <w:pPr>
        <w:rPr>
          <w:sz w:val="20"/>
          <w:szCs w:val="20"/>
          <w:lang w:val="en"/>
        </w:rPr>
      </w:pPr>
      <w:r w:rsidRPr="009F384D">
        <w:rPr>
          <w:sz w:val="20"/>
          <w:szCs w:val="20"/>
          <w:lang w:val="en"/>
        </w:rPr>
        <w:t xml:space="preserve">Bates, S.S., Bird, C.J., Freitas, A.S.W. de, Foxall, R., Gilgan, M., Hanic, L.A., Johnson, G.R., McCulloch, A.W., Odense, P., Pocklington, R., Quilliam, M.A., Sim, P.G., Smith, J.C., Rao, D.V.S., Todd, E.C.D., Walter, J.A., Wright, J.L.C., 1989. Pennate Diatom Nitzschia pungens as the Primary Source of Domoic Acid, a Toxin in Shellfish from Eastern Prince Edward Island, Canada. Can. J. Fish. Aquat. Sci. 46, 1203–1215. </w:t>
      </w:r>
      <w:hyperlink r:id="rId77" w:history="1">
        <w:r w:rsidRPr="009F384D">
          <w:rPr>
            <w:sz w:val="20"/>
            <w:szCs w:val="20"/>
            <w:lang w:val="en"/>
          </w:rPr>
          <w:t>https://doi.org/10.1139/f89-156</w:t>
        </w:r>
      </w:hyperlink>
    </w:p>
    <w:p w14:paraId="403C50D3" w14:textId="77777777" w:rsidR="002767EC" w:rsidRPr="009F384D" w:rsidRDefault="002767EC" w:rsidP="002767EC">
      <w:pPr>
        <w:rPr>
          <w:sz w:val="20"/>
          <w:szCs w:val="20"/>
          <w:lang w:val="en"/>
        </w:rPr>
      </w:pPr>
      <w:r w:rsidRPr="009F384D">
        <w:rPr>
          <w:sz w:val="20"/>
          <w:szCs w:val="20"/>
          <w:lang w:val="en"/>
        </w:rPr>
        <w:t xml:space="preserve">Bates, S.S., Freitas, A.S.W. de, Milley, J.E., Pocklington, R., Quilliam, M.A., Smith, J.C., Worms, J., 1991. Controls on Domoic Acid Production by the Diatom Nitzschia pungens f. multiseries in Culture: Nutrients and Irradïance. Can. J. Fish. Aquat. Sci. 48, 1136–1144. </w:t>
      </w:r>
      <w:hyperlink r:id="rId78" w:history="1">
        <w:r w:rsidRPr="009F384D">
          <w:rPr>
            <w:sz w:val="20"/>
            <w:szCs w:val="20"/>
            <w:lang w:val="en"/>
          </w:rPr>
          <w:t>https://doi.org/10.1139/f91-137</w:t>
        </w:r>
      </w:hyperlink>
    </w:p>
    <w:p w14:paraId="64F5971A" w14:textId="77777777" w:rsidR="002767EC" w:rsidRPr="009F384D" w:rsidRDefault="002767EC" w:rsidP="002767EC">
      <w:pPr>
        <w:rPr>
          <w:sz w:val="20"/>
          <w:szCs w:val="20"/>
          <w:lang w:val="en"/>
        </w:rPr>
      </w:pPr>
      <w:r w:rsidRPr="009F384D">
        <w:rPr>
          <w:sz w:val="20"/>
          <w:szCs w:val="20"/>
          <w:lang w:val="en"/>
        </w:rPr>
        <w:t>Bates, S.S., Garrison, D.L., Horner, R.A., 1998. Bloom Dynamics and Physiology of Domoic-Acid- Producing Pseudo-nitzschia Species. NATO ASI series G ecological sciences 40, 267–292.</w:t>
      </w:r>
    </w:p>
    <w:p w14:paraId="3CB2A23A" w14:textId="77777777" w:rsidR="002767EC" w:rsidRPr="009F384D" w:rsidRDefault="002767EC" w:rsidP="002767EC">
      <w:pPr>
        <w:rPr>
          <w:sz w:val="20"/>
          <w:szCs w:val="20"/>
          <w:lang w:val="en"/>
        </w:rPr>
      </w:pPr>
      <w:r w:rsidRPr="009F384D">
        <w:rPr>
          <w:sz w:val="20"/>
          <w:szCs w:val="20"/>
          <w:lang w:val="en"/>
        </w:rPr>
        <w:t xml:space="preserve">Bednaršek, N., Klinger, T., Harvey, C.J., Weisberg, S., McCabe, R.M., Feely, R.A., Newton, J., Tolimieri, N., 2017. New ocean, new needs: Application of pteropod shell dissolution as a biological indicator for marine resource management. Ecological Indicators 76, 240–244. </w:t>
      </w:r>
      <w:hyperlink r:id="rId79" w:history="1">
        <w:r w:rsidRPr="009F384D">
          <w:rPr>
            <w:sz w:val="20"/>
            <w:szCs w:val="20"/>
            <w:lang w:val="en"/>
          </w:rPr>
          <w:t>https://doi.org/10.1016/j.ecolind.2017.01.025</w:t>
        </w:r>
      </w:hyperlink>
    </w:p>
    <w:p w14:paraId="2C06667C" w14:textId="77777777" w:rsidR="002767EC" w:rsidRPr="009F384D" w:rsidRDefault="002767EC" w:rsidP="002767EC">
      <w:pPr>
        <w:rPr>
          <w:sz w:val="20"/>
          <w:szCs w:val="20"/>
          <w:lang w:val="en"/>
        </w:rPr>
      </w:pPr>
      <w:r w:rsidRPr="009F384D">
        <w:rPr>
          <w:sz w:val="20"/>
          <w:szCs w:val="20"/>
          <w:lang w:val="en"/>
        </w:rPr>
        <w:t xml:space="preserve">Bednaršek, N., Tarling, G.A., Bakker, D.C.E., Fielding, S., Feely, R.A., 2014. Dissolution Dominating Calcification Process in Polar Pteropods Close to the Point of Aragonite Undersaturation. PLOS ONE 9, e109183. </w:t>
      </w:r>
      <w:hyperlink r:id="rId80" w:history="1">
        <w:r w:rsidRPr="009F384D">
          <w:rPr>
            <w:sz w:val="20"/>
            <w:szCs w:val="20"/>
            <w:lang w:val="en"/>
          </w:rPr>
          <w:t>https://doi.org/10.1371/journal.pone.0109183</w:t>
        </w:r>
      </w:hyperlink>
    </w:p>
    <w:p w14:paraId="0C966D9B" w14:textId="77777777" w:rsidR="002767EC" w:rsidRPr="009F384D" w:rsidRDefault="002767EC" w:rsidP="002767EC">
      <w:pPr>
        <w:rPr>
          <w:sz w:val="20"/>
          <w:szCs w:val="20"/>
          <w:lang w:val="en"/>
        </w:rPr>
      </w:pPr>
      <w:r w:rsidRPr="009F384D">
        <w:rPr>
          <w:sz w:val="20"/>
          <w:szCs w:val="20"/>
          <w:lang w:val="en"/>
        </w:rPr>
        <w:t>Berg, M., Sutula, M., 2015. Factors Affecting Growth of Cyanobacteria with Special Emphasis on the Sacramento-San Joaquin Delta (Technical Report No. 869). Southern California Coastal Water Research Project, Costa Mesa, CA.</w:t>
      </w:r>
    </w:p>
    <w:p w14:paraId="01F77C86" w14:textId="77777777" w:rsidR="002767EC" w:rsidRPr="009F384D" w:rsidRDefault="002767EC" w:rsidP="002767EC">
      <w:pPr>
        <w:rPr>
          <w:sz w:val="20"/>
          <w:szCs w:val="20"/>
          <w:lang w:val="en"/>
        </w:rPr>
      </w:pPr>
      <w:r w:rsidRPr="009F384D">
        <w:rPr>
          <w:sz w:val="20"/>
          <w:szCs w:val="20"/>
          <w:lang w:val="en"/>
        </w:rPr>
        <w:t xml:space="preserve">Biggs, B.J.F., Smith, R.A., 2002. Taxonomic richness of stream benthic algae: Effects of flood disturbance and nutrients. Limnology and Oceanography 47, 1175–1186. </w:t>
      </w:r>
      <w:hyperlink r:id="rId81" w:history="1">
        <w:r w:rsidRPr="009F384D">
          <w:rPr>
            <w:sz w:val="20"/>
            <w:szCs w:val="20"/>
            <w:lang w:val="en"/>
          </w:rPr>
          <w:t>https://doi.org/10.4319/lo.2002.47.4.1175</w:t>
        </w:r>
      </w:hyperlink>
    </w:p>
    <w:p w14:paraId="0E70D06A" w14:textId="77777777" w:rsidR="002767EC" w:rsidRPr="009F384D" w:rsidRDefault="002767EC" w:rsidP="002767EC">
      <w:pPr>
        <w:rPr>
          <w:sz w:val="20"/>
          <w:szCs w:val="20"/>
          <w:lang w:val="en"/>
        </w:rPr>
      </w:pPr>
      <w:r w:rsidRPr="009F384D">
        <w:rPr>
          <w:sz w:val="20"/>
          <w:szCs w:val="20"/>
          <w:lang w:val="en"/>
        </w:rPr>
        <w:t xml:space="preserve">Bittick, S.J., Sutula, M., Fong, P., 2018. A tale of two algal blooms: Negative and predictable effects of two common bloom-forming macroalgae on seagrass and epiphytes. Marine Environmental Research 140, 1–9. </w:t>
      </w:r>
      <w:hyperlink r:id="rId82" w:history="1">
        <w:r w:rsidRPr="009F384D">
          <w:rPr>
            <w:sz w:val="20"/>
            <w:szCs w:val="20"/>
            <w:lang w:val="en"/>
          </w:rPr>
          <w:t>https://doi.org/10.1016/j.marenvres.2018.05.018</w:t>
        </w:r>
      </w:hyperlink>
    </w:p>
    <w:p w14:paraId="18F81AAD" w14:textId="77777777" w:rsidR="002767EC" w:rsidRPr="009F384D" w:rsidRDefault="002767EC" w:rsidP="002767EC">
      <w:pPr>
        <w:rPr>
          <w:sz w:val="20"/>
          <w:szCs w:val="20"/>
          <w:lang w:val="en"/>
        </w:rPr>
      </w:pPr>
      <w:r w:rsidRPr="009F384D">
        <w:rPr>
          <w:sz w:val="20"/>
          <w:szCs w:val="20"/>
          <w:lang w:val="en"/>
        </w:rPr>
        <w:t xml:space="preserve">Borsuk, M.E., Stow, C.A., Luettich, R.A., Paerl, H.W., Pinckney, J.L., 2001. Modelling Oxygen Dynamics in an Intermittently Stratified Estuary: Estimation of Process Rates Using Field Data. Estuarine, Coastal and Shelf Science 52, 33–49. </w:t>
      </w:r>
      <w:hyperlink r:id="rId83" w:history="1">
        <w:r w:rsidRPr="009F384D">
          <w:rPr>
            <w:sz w:val="20"/>
            <w:szCs w:val="20"/>
            <w:lang w:val="en"/>
          </w:rPr>
          <w:t>https://doi.org/10.1006/ecss.2000.0726</w:t>
        </w:r>
      </w:hyperlink>
    </w:p>
    <w:p w14:paraId="012410C1" w14:textId="77777777" w:rsidR="002767EC" w:rsidRPr="009F384D" w:rsidRDefault="002767EC" w:rsidP="002767EC">
      <w:pPr>
        <w:rPr>
          <w:sz w:val="20"/>
          <w:szCs w:val="20"/>
          <w:lang w:val="en"/>
        </w:rPr>
      </w:pPr>
      <w:r w:rsidRPr="009F384D">
        <w:rPr>
          <w:sz w:val="20"/>
          <w:szCs w:val="20"/>
          <w:lang w:val="en"/>
        </w:rPr>
        <w:t>Boyer, K., Sutula, M., 2015. Factors Controlling Submersed and Floating Macrophytes in the Sacramento-San Joaquin Delta (Technical Report No. 870). Southern California Coastal Water Research Project, Costa Mesa, CA.</w:t>
      </w:r>
    </w:p>
    <w:p w14:paraId="5FA36E8A" w14:textId="77777777" w:rsidR="002767EC" w:rsidRPr="009F384D" w:rsidRDefault="002767EC" w:rsidP="002767EC">
      <w:pPr>
        <w:rPr>
          <w:sz w:val="20"/>
          <w:szCs w:val="20"/>
          <w:lang w:val="en"/>
        </w:rPr>
      </w:pPr>
      <w:r w:rsidRPr="009F384D">
        <w:rPr>
          <w:sz w:val="20"/>
          <w:szCs w:val="20"/>
          <w:lang w:val="en"/>
        </w:rPr>
        <w:t xml:space="preserve">Breitburg, D.L., Craig, J.K., Fulford, R.S., Rose, K.A., Boynton, W.R., Brady, D.C., Ciotti, B.J., Diaz, R.J., Friedland, K.D., Hagy, J.D., Hart, D.R., Hines, A.H., Houde, E.D., Kolesar, S.E., Nixon, S.W., Rice, J.A., Secor, D.H., Targett, T.E., 2009. Nutrient enrichment and fisheries exploitation: interactive effects on estuarine living resources and their management. Hydrobiologia 629, 31–47. </w:t>
      </w:r>
      <w:hyperlink r:id="rId84" w:history="1">
        <w:r w:rsidRPr="009F384D">
          <w:rPr>
            <w:sz w:val="20"/>
            <w:szCs w:val="20"/>
            <w:lang w:val="en"/>
          </w:rPr>
          <w:t>https://doi.org/10.1007/s10750-009-9762-4</w:t>
        </w:r>
      </w:hyperlink>
    </w:p>
    <w:p w14:paraId="1BD48757" w14:textId="77777777" w:rsidR="002767EC" w:rsidRPr="009F384D" w:rsidRDefault="002767EC" w:rsidP="002767EC">
      <w:pPr>
        <w:rPr>
          <w:sz w:val="20"/>
          <w:szCs w:val="20"/>
          <w:lang w:val="en"/>
        </w:rPr>
      </w:pPr>
      <w:r w:rsidRPr="009F384D">
        <w:rPr>
          <w:sz w:val="20"/>
          <w:szCs w:val="20"/>
          <w:lang w:val="en"/>
        </w:rPr>
        <w:t xml:space="preserve">Breitburg, D.L., Loher, T., Pacey, C.A., Gerstein, A., 1997. Varying Effects of Low Dissolved Oxygen on Trophic Interactions in an Estuarine Food Web. Ecological Monographs 67, 489–507. </w:t>
      </w:r>
      <w:hyperlink r:id="rId85" w:history="1">
        <w:r w:rsidRPr="009F384D">
          <w:rPr>
            <w:sz w:val="20"/>
            <w:szCs w:val="20"/>
            <w:lang w:val="en"/>
          </w:rPr>
          <w:t>https://doi.org/10.1890/0012-9615(1997)067[0489:VEOLDO]2.0.CO;2</w:t>
        </w:r>
      </w:hyperlink>
    </w:p>
    <w:p w14:paraId="4358E66D" w14:textId="77777777" w:rsidR="002767EC" w:rsidRPr="009F384D" w:rsidRDefault="002767EC" w:rsidP="002767EC">
      <w:pPr>
        <w:rPr>
          <w:sz w:val="20"/>
          <w:szCs w:val="20"/>
          <w:lang w:val="en"/>
        </w:rPr>
      </w:pPr>
      <w:r w:rsidRPr="009F384D">
        <w:rPr>
          <w:sz w:val="20"/>
          <w:szCs w:val="20"/>
          <w:lang w:val="en"/>
        </w:rPr>
        <w:t>Burkholder, J.M., Mason, K.M., Glasgow, H.B., 1992. Water-column nitrate enrichment promotes decline of eelgrass Zostera marina: evidence from seasonal mesocosm experiments. Mar. Ecol. Prog. Ser. 16.</w:t>
      </w:r>
    </w:p>
    <w:p w14:paraId="448CCAEC" w14:textId="756C25ED" w:rsidR="002767EC" w:rsidRDefault="002767EC" w:rsidP="002767EC">
      <w:pPr>
        <w:rPr>
          <w:sz w:val="20"/>
          <w:szCs w:val="20"/>
          <w:lang w:val="en"/>
        </w:rPr>
      </w:pPr>
      <w:r w:rsidRPr="009F384D">
        <w:rPr>
          <w:sz w:val="20"/>
          <w:szCs w:val="20"/>
          <w:lang w:val="en"/>
        </w:rPr>
        <w:t xml:space="preserve">Butterwick, C., Heaney, S.I., Talling, J.F., 2005. Diversity in the influence of temperature on the growth rates of freshwater algae, and its ecological relevance. Freshwater Biology 50, 291–300. </w:t>
      </w:r>
      <w:hyperlink r:id="rId86" w:history="1">
        <w:r w:rsidRPr="009F384D">
          <w:rPr>
            <w:sz w:val="20"/>
            <w:szCs w:val="20"/>
            <w:lang w:val="en"/>
          </w:rPr>
          <w:t>https://doi.org/10.1111/j.1365-2427.2004.01317.x</w:t>
        </w:r>
      </w:hyperlink>
    </w:p>
    <w:p w14:paraId="6851AC14" w14:textId="77777777" w:rsidR="002767EC" w:rsidRPr="009F384D" w:rsidRDefault="002767EC" w:rsidP="002767EC">
      <w:pPr>
        <w:rPr>
          <w:sz w:val="20"/>
          <w:szCs w:val="20"/>
          <w:lang w:val="en"/>
        </w:rPr>
      </w:pPr>
      <w:r w:rsidRPr="009F384D">
        <w:rPr>
          <w:sz w:val="20"/>
          <w:szCs w:val="20"/>
          <w:lang w:val="en"/>
        </w:rPr>
        <w:t xml:space="preserve">Carey, C.C., Ibelings, B.W., Hoffmann, E.P., Hamilton, D.P., Brookes, J.D., 2012. Eco-physiological adaptations that favour freshwater cyanobacteria in a changing climate. Water Research, Cyanobacteria: Impacts of climate change on occurrence, toxicity and water quality management 46, 1394–1407. </w:t>
      </w:r>
      <w:hyperlink r:id="rId87" w:history="1">
        <w:r w:rsidRPr="009F384D">
          <w:rPr>
            <w:sz w:val="20"/>
            <w:szCs w:val="20"/>
            <w:lang w:val="en"/>
          </w:rPr>
          <w:t>https://doi.org/10.1016/j.watres.2011.12.016</w:t>
        </w:r>
      </w:hyperlink>
    </w:p>
    <w:p w14:paraId="20436E22" w14:textId="77777777" w:rsidR="002767EC" w:rsidRPr="009F384D" w:rsidRDefault="002767EC" w:rsidP="002767EC">
      <w:pPr>
        <w:rPr>
          <w:sz w:val="20"/>
          <w:szCs w:val="20"/>
          <w:lang w:val="en"/>
        </w:rPr>
      </w:pPr>
      <w:r w:rsidRPr="009F384D">
        <w:rPr>
          <w:sz w:val="20"/>
          <w:szCs w:val="20"/>
          <w:lang w:val="en"/>
        </w:rPr>
        <w:t>CCHAB: Blue Green Algae Work Group of the State Water Resources Control Board (SWRCB), the California Department of Public Health (CDPH), and Office of Environmental Health and Hazard Assessment (OEHHA), 2016. Cyanobacteria in California Recreational Water Bodies: Providing Voluntary Guidance about Harmful Algal Blooms, Their Monitoring, and Public Notification (Draft Report).</w:t>
      </w:r>
    </w:p>
    <w:p w14:paraId="55E4D349" w14:textId="77777777" w:rsidR="002767EC" w:rsidRPr="009F384D" w:rsidRDefault="002767EC" w:rsidP="002767EC">
      <w:pPr>
        <w:rPr>
          <w:sz w:val="20"/>
          <w:szCs w:val="20"/>
          <w:lang w:val="en"/>
        </w:rPr>
      </w:pPr>
      <w:r w:rsidRPr="009F384D">
        <w:rPr>
          <w:sz w:val="20"/>
          <w:szCs w:val="20"/>
          <w:lang w:val="en"/>
        </w:rPr>
        <w:t xml:space="preserve">Chessman, B.C., Hutton, P.E., Burch, J.M., 1992. Limiting nutrients for periphyton growth in sub-alpine, forest, agricultural and urban streams. Freshwater Biology 28, 349–361. </w:t>
      </w:r>
      <w:hyperlink r:id="rId88" w:history="1">
        <w:r w:rsidRPr="009F384D">
          <w:rPr>
            <w:sz w:val="20"/>
            <w:szCs w:val="20"/>
            <w:lang w:val="en"/>
          </w:rPr>
          <w:t>https://doi.org/10.1111/j.1365-2427.1992.tb00593.x</w:t>
        </w:r>
      </w:hyperlink>
    </w:p>
    <w:p w14:paraId="468A758E" w14:textId="77777777" w:rsidR="002767EC" w:rsidRPr="009F384D" w:rsidRDefault="002767EC" w:rsidP="002767EC">
      <w:pPr>
        <w:rPr>
          <w:sz w:val="20"/>
          <w:szCs w:val="20"/>
          <w:lang w:val="en"/>
        </w:rPr>
      </w:pPr>
      <w:r w:rsidRPr="009F384D">
        <w:rPr>
          <w:sz w:val="20"/>
          <w:szCs w:val="20"/>
          <w:lang w:val="en"/>
        </w:rPr>
        <w:t>Chételat, J., Pick, F.R., Morin, A., Hamilton, P.B., 1999. Periphyton biomass and community composition in rivers of different nutrient status. Canadian Journal of Fisheries and Aquatic Sciences 56, 560–569.</w:t>
      </w:r>
    </w:p>
    <w:p w14:paraId="48CCA0DA" w14:textId="77777777" w:rsidR="002767EC" w:rsidRPr="009F384D" w:rsidRDefault="002767EC" w:rsidP="002767EC">
      <w:pPr>
        <w:rPr>
          <w:sz w:val="20"/>
          <w:szCs w:val="20"/>
          <w:lang w:val="en"/>
        </w:rPr>
      </w:pPr>
      <w:r w:rsidRPr="009F384D">
        <w:rPr>
          <w:sz w:val="20"/>
          <w:szCs w:val="20"/>
          <w:lang w:val="en"/>
        </w:rPr>
        <w:t xml:space="preserve">Cloern, J., 2001. Our evolving conceptual model of the coastal eutrophication problem. Marine Ecology Progress Series 210, 223–253. </w:t>
      </w:r>
      <w:hyperlink r:id="rId89" w:history="1">
        <w:r w:rsidRPr="009F384D">
          <w:rPr>
            <w:sz w:val="20"/>
            <w:szCs w:val="20"/>
            <w:lang w:val="en"/>
          </w:rPr>
          <w:t>https://doi.org/10.3354/meps210223</w:t>
        </w:r>
      </w:hyperlink>
    </w:p>
    <w:p w14:paraId="6D43A3FC" w14:textId="77777777" w:rsidR="002767EC" w:rsidRPr="009F384D" w:rsidRDefault="002767EC" w:rsidP="002767EC">
      <w:pPr>
        <w:rPr>
          <w:sz w:val="20"/>
          <w:szCs w:val="20"/>
          <w:lang w:val="en"/>
        </w:rPr>
      </w:pPr>
      <w:r w:rsidRPr="009F384D">
        <w:rPr>
          <w:sz w:val="20"/>
          <w:szCs w:val="20"/>
          <w:lang w:val="en"/>
        </w:rPr>
        <w:t xml:space="preserve">Conley, D.J., Paerl, H.W., Howarth, R.W., Boesch, D.F., Seitzinger, S.P., Havens, K.E., Lancelot, C., Likens, G.E., 2009. ECOLOGY: Controlling Eutrophication: Nitrogen and Phosphorus. Science 323, 1014–1015. </w:t>
      </w:r>
      <w:hyperlink r:id="rId90" w:history="1">
        <w:r w:rsidRPr="009F384D">
          <w:rPr>
            <w:sz w:val="20"/>
            <w:szCs w:val="20"/>
            <w:lang w:val="en"/>
          </w:rPr>
          <w:t>https://doi.org/10.1126/science.1167755</w:t>
        </w:r>
      </w:hyperlink>
    </w:p>
    <w:p w14:paraId="56F6DDC0" w14:textId="77777777" w:rsidR="002767EC" w:rsidRPr="009F384D" w:rsidRDefault="002767EC" w:rsidP="002767EC">
      <w:pPr>
        <w:rPr>
          <w:sz w:val="20"/>
          <w:szCs w:val="20"/>
          <w:lang w:val="en"/>
        </w:rPr>
      </w:pPr>
      <w:r w:rsidRPr="009F384D">
        <w:rPr>
          <w:sz w:val="20"/>
          <w:szCs w:val="20"/>
          <w:lang w:val="en"/>
        </w:rPr>
        <w:t>Cormier, S.M., Norton, S.B., Suter II, G.W., Reed-Judkins, D., 2000. Stressor Identification Guidance Document (No. EPA/822/B-00/025). U.S. Environmental Protection Agency, Office of Research and Development, Washington, D.C.</w:t>
      </w:r>
    </w:p>
    <w:p w14:paraId="57A5FB78" w14:textId="77777777" w:rsidR="002767EC" w:rsidRPr="009F384D" w:rsidRDefault="002767EC" w:rsidP="002767EC">
      <w:pPr>
        <w:rPr>
          <w:sz w:val="20"/>
          <w:szCs w:val="20"/>
          <w:lang w:val="en"/>
        </w:rPr>
      </w:pPr>
      <w:r w:rsidRPr="009F384D">
        <w:rPr>
          <w:sz w:val="20"/>
          <w:szCs w:val="20"/>
          <w:lang w:val="en"/>
        </w:rPr>
        <w:t>Cushing, C.E., Allan, J.D., 2001. Streams their ecology and life. San Diego Academic Press.</w:t>
      </w:r>
    </w:p>
    <w:p w14:paraId="15AD19F1" w14:textId="77777777" w:rsidR="002767EC" w:rsidRPr="009F384D" w:rsidRDefault="002767EC" w:rsidP="002767EC">
      <w:pPr>
        <w:rPr>
          <w:sz w:val="20"/>
          <w:szCs w:val="20"/>
          <w:lang w:val="en"/>
        </w:rPr>
      </w:pPr>
      <w:r w:rsidRPr="009F384D">
        <w:rPr>
          <w:sz w:val="20"/>
          <w:szCs w:val="20"/>
          <w:lang w:val="en"/>
        </w:rPr>
        <w:t>Dahm, C.N., Parker, A.E., Adelson, A.E., Christman, M.A., Bergamaschi, B.A., 2016. Nutrient Dynamics of the Delta: Effects on Primary Producers. San Francisco Estuary and Watershed Science 14.</w:t>
      </w:r>
    </w:p>
    <w:p w14:paraId="2CC8E2E2" w14:textId="77777777" w:rsidR="002767EC" w:rsidRPr="009F384D" w:rsidRDefault="002767EC" w:rsidP="002767EC">
      <w:pPr>
        <w:rPr>
          <w:sz w:val="20"/>
          <w:szCs w:val="20"/>
          <w:lang w:val="en"/>
        </w:rPr>
      </w:pPr>
      <w:r w:rsidRPr="009F384D">
        <w:rPr>
          <w:sz w:val="20"/>
          <w:szCs w:val="20"/>
          <w:lang w:val="en"/>
        </w:rPr>
        <w:t xml:space="preserve">D’Avanzo, C., Kremer, J.N., 1994. Diel Oxygen Dynamics and Anoxic Events in an Eutrophic Estuary of Waquoit Bay, Massachusetts. Estuaries 17, 131. </w:t>
      </w:r>
      <w:hyperlink r:id="rId91" w:history="1">
        <w:r w:rsidRPr="009F384D">
          <w:rPr>
            <w:sz w:val="20"/>
            <w:szCs w:val="20"/>
            <w:lang w:val="en"/>
          </w:rPr>
          <w:t>https://doi.org/10.2307/1352562</w:t>
        </w:r>
      </w:hyperlink>
    </w:p>
    <w:p w14:paraId="31B4B1A6" w14:textId="77777777" w:rsidR="002767EC" w:rsidRPr="009F384D" w:rsidRDefault="002767EC" w:rsidP="002767EC">
      <w:pPr>
        <w:rPr>
          <w:sz w:val="20"/>
          <w:szCs w:val="20"/>
          <w:lang w:val="el-GR"/>
        </w:rPr>
      </w:pPr>
      <w:r w:rsidRPr="009F384D">
        <w:rPr>
          <w:sz w:val="20"/>
          <w:szCs w:val="20"/>
          <w:lang w:val="en"/>
        </w:rPr>
        <w:t xml:space="preserve">Delong, M.D., Brusven, M.A., 1992. PATTERNS OF PERIPHYTON CHLOROPHYLL </w:t>
      </w:r>
      <w:r w:rsidRPr="009F384D">
        <w:rPr>
          <w:sz w:val="20"/>
          <w:szCs w:val="20"/>
          <w:lang w:val="el-GR"/>
        </w:rPr>
        <w:t xml:space="preserve">α IN AN AGRICULTURAL NONPOINT SOURCE IMPACTED STREAM1. JAWRA Journal of the American Water Resources Association 28, 731–741. </w:t>
      </w:r>
      <w:hyperlink r:id="rId92" w:history="1">
        <w:r w:rsidRPr="009F384D">
          <w:rPr>
            <w:sz w:val="20"/>
            <w:szCs w:val="20"/>
            <w:lang w:val="el-GR"/>
          </w:rPr>
          <w:t>https://doi.org/10.1111/j.1752-1688.1992.tb01495.x</w:t>
        </w:r>
      </w:hyperlink>
    </w:p>
    <w:p w14:paraId="7C0FF3F5" w14:textId="77777777" w:rsidR="002767EC" w:rsidRPr="009F384D" w:rsidRDefault="002767EC" w:rsidP="002767EC">
      <w:pPr>
        <w:rPr>
          <w:sz w:val="20"/>
          <w:szCs w:val="20"/>
          <w:lang w:val="el-GR"/>
        </w:rPr>
      </w:pPr>
      <w:r w:rsidRPr="009F384D">
        <w:rPr>
          <w:sz w:val="20"/>
          <w:szCs w:val="20"/>
          <w:lang w:val="el-GR"/>
        </w:rPr>
        <w:t xml:space="preserve">Dennison, W.C., Orth, R.J., Moore, K.A., Stevenson, J.C., Carter, V., Kollar, S., Bergstrom, P.W., Batiuk, R.A., 1993. Assessing Water Quality with Submersed Aquatic Vegetation. BioScience 43, 86–94. </w:t>
      </w:r>
      <w:hyperlink r:id="rId93" w:history="1">
        <w:r w:rsidRPr="009F384D">
          <w:rPr>
            <w:sz w:val="20"/>
            <w:szCs w:val="20"/>
            <w:lang w:val="el-GR"/>
          </w:rPr>
          <w:t>https://doi.org/10.2307/1311969</w:t>
        </w:r>
      </w:hyperlink>
    </w:p>
    <w:p w14:paraId="0B0F0939" w14:textId="77777777" w:rsidR="002767EC" w:rsidRPr="009F384D" w:rsidRDefault="002767EC" w:rsidP="002767EC">
      <w:pPr>
        <w:rPr>
          <w:sz w:val="20"/>
          <w:szCs w:val="20"/>
          <w:lang w:val="el-GR"/>
        </w:rPr>
      </w:pPr>
      <w:r w:rsidRPr="009F384D">
        <w:rPr>
          <w:sz w:val="20"/>
          <w:szCs w:val="20"/>
          <w:lang w:val="el-GR"/>
        </w:rPr>
        <w:t xml:space="preserve">Dettmann, E.H., 2001. Effect of water residence time on annual export and denitrification of nitrogen in estuaries: A model analysis. Estuaries 24, 481–490. </w:t>
      </w:r>
      <w:hyperlink r:id="rId94" w:history="1">
        <w:r w:rsidRPr="009F384D">
          <w:rPr>
            <w:sz w:val="20"/>
            <w:szCs w:val="20"/>
            <w:lang w:val="el-GR"/>
          </w:rPr>
          <w:t>https://doi.org/10.2307/1353250</w:t>
        </w:r>
      </w:hyperlink>
    </w:p>
    <w:p w14:paraId="5AE19610" w14:textId="77777777" w:rsidR="002767EC" w:rsidRPr="009F384D" w:rsidRDefault="002767EC" w:rsidP="002767EC">
      <w:pPr>
        <w:rPr>
          <w:sz w:val="20"/>
          <w:szCs w:val="20"/>
          <w:lang w:val="el-GR"/>
        </w:rPr>
      </w:pPr>
      <w:r w:rsidRPr="009F384D">
        <w:rPr>
          <w:sz w:val="20"/>
          <w:szCs w:val="20"/>
          <w:lang w:val="el-GR"/>
        </w:rPr>
        <w:t xml:space="preserve">Diaz, R.J., 2001. Overview of Hypoxia around the World. Journal of Environmental Quality 30, 275–281. </w:t>
      </w:r>
      <w:hyperlink r:id="rId95" w:history="1">
        <w:r w:rsidRPr="009F384D">
          <w:rPr>
            <w:sz w:val="20"/>
            <w:szCs w:val="20"/>
            <w:lang w:val="el-GR"/>
          </w:rPr>
          <w:t>https://doi.org/10.2134/jeq2001.302275x</w:t>
        </w:r>
      </w:hyperlink>
    </w:p>
    <w:p w14:paraId="1B46D329" w14:textId="77777777" w:rsidR="002767EC" w:rsidRPr="009F384D" w:rsidRDefault="002767EC" w:rsidP="002767EC">
      <w:pPr>
        <w:rPr>
          <w:sz w:val="20"/>
          <w:szCs w:val="20"/>
          <w:lang w:val="el-GR"/>
        </w:rPr>
      </w:pPr>
      <w:r w:rsidRPr="009F384D">
        <w:rPr>
          <w:sz w:val="20"/>
          <w:szCs w:val="20"/>
          <w:lang w:val="el-GR"/>
        </w:rPr>
        <w:t xml:space="preserve">Diaz, R.J., Rosenberg, R., 2008. Spreading Dead Zones and Consequences for Marine Ecosystems. Science 321, 926–929. </w:t>
      </w:r>
      <w:hyperlink r:id="rId96" w:history="1">
        <w:r w:rsidRPr="009F384D">
          <w:rPr>
            <w:sz w:val="20"/>
            <w:szCs w:val="20"/>
            <w:lang w:val="el-GR"/>
          </w:rPr>
          <w:t>https://doi.org/10.1126/science.1156401</w:t>
        </w:r>
      </w:hyperlink>
    </w:p>
    <w:p w14:paraId="071F7C3A" w14:textId="77777777" w:rsidR="002767EC" w:rsidRPr="009F384D" w:rsidRDefault="002767EC" w:rsidP="002767EC">
      <w:pPr>
        <w:rPr>
          <w:sz w:val="20"/>
          <w:szCs w:val="20"/>
          <w:lang w:val="el-GR"/>
        </w:rPr>
      </w:pPr>
      <w:r w:rsidRPr="009F384D">
        <w:rPr>
          <w:sz w:val="20"/>
          <w:szCs w:val="20"/>
          <w:lang w:val="el-GR"/>
        </w:rPr>
        <w:t>Diaz, R.J., Rosenberg, R., 1995. MARINE BENTHIC HYPOXIA: A REVIEW OF ITS ECOLOGICAL EFFECTS AND THE BEHAVIOURAL RESPONSES OF BENTHIC MACROFAUNA. Oceanography and Marine Biology - Annual Review 33, 245–303.</w:t>
      </w:r>
    </w:p>
    <w:p w14:paraId="5DED769D" w14:textId="77777777" w:rsidR="002767EC" w:rsidRPr="009F384D" w:rsidRDefault="002767EC" w:rsidP="002767EC">
      <w:pPr>
        <w:rPr>
          <w:sz w:val="20"/>
          <w:szCs w:val="20"/>
          <w:lang w:val="el-GR"/>
        </w:rPr>
      </w:pPr>
      <w:r w:rsidRPr="009F384D">
        <w:rPr>
          <w:sz w:val="20"/>
          <w:szCs w:val="20"/>
          <w:lang w:val="el-GR"/>
        </w:rPr>
        <w:t xml:space="preserve">Dodds, W.K., 2007. Trophic state, eutrophication and nutrient criteria in streams. Trends in Ecology &amp; Evolution 22, 669–676. </w:t>
      </w:r>
      <w:hyperlink r:id="rId97" w:history="1">
        <w:r w:rsidRPr="009F384D">
          <w:rPr>
            <w:sz w:val="20"/>
            <w:szCs w:val="20"/>
            <w:lang w:val="el-GR"/>
          </w:rPr>
          <w:t>https://doi.org/10.1016/j.tree.2007.07.010</w:t>
        </w:r>
      </w:hyperlink>
    </w:p>
    <w:p w14:paraId="79EC520D" w14:textId="77777777" w:rsidR="002767EC" w:rsidRPr="009F384D" w:rsidRDefault="002767EC" w:rsidP="002767EC">
      <w:pPr>
        <w:rPr>
          <w:sz w:val="20"/>
          <w:szCs w:val="20"/>
          <w:lang w:val="el-GR"/>
        </w:rPr>
      </w:pPr>
      <w:r w:rsidRPr="009F384D">
        <w:rPr>
          <w:sz w:val="20"/>
          <w:szCs w:val="20"/>
          <w:lang w:val="el-GR"/>
        </w:rPr>
        <w:t xml:space="preserve">Dodds, W.K., Biggs, B.J.F., 2002. Water Velocity Attenuation by Stream Periphyton and Macrophytes in Relation to Growth Form and Architecture. Journal of the North American Benthological Society 21, 2–15. </w:t>
      </w:r>
      <w:hyperlink r:id="rId98" w:history="1">
        <w:r w:rsidRPr="009F384D">
          <w:rPr>
            <w:sz w:val="20"/>
            <w:szCs w:val="20"/>
            <w:lang w:val="el-GR"/>
          </w:rPr>
          <w:t>https://doi.org/10.2307/1468295</w:t>
        </w:r>
      </w:hyperlink>
    </w:p>
    <w:p w14:paraId="7A14C7F0" w14:textId="77777777" w:rsidR="002767EC" w:rsidRPr="009F384D" w:rsidRDefault="002767EC" w:rsidP="002767EC">
      <w:pPr>
        <w:rPr>
          <w:sz w:val="20"/>
          <w:szCs w:val="20"/>
          <w:lang w:val="el-GR"/>
        </w:rPr>
      </w:pPr>
      <w:r w:rsidRPr="009F384D">
        <w:rPr>
          <w:sz w:val="20"/>
          <w:szCs w:val="20"/>
          <w:lang w:val="el-GR"/>
        </w:rPr>
        <w:t xml:space="preserve">Domagalski, J., Saleh, D., 2015. Sources and Transport of Phosphorus to Rivers in California and Adjacent States, U.S., as Determined by SPARROW Modeling. JAWRA Journal of the American Water Resources Association 51, 1463–1486. </w:t>
      </w:r>
      <w:hyperlink r:id="rId99" w:history="1">
        <w:r w:rsidRPr="009F384D">
          <w:rPr>
            <w:sz w:val="20"/>
            <w:szCs w:val="20"/>
            <w:lang w:val="el-GR"/>
          </w:rPr>
          <w:t>https://doi.org/10.1111/1752-1688.12326</w:t>
        </w:r>
      </w:hyperlink>
    </w:p>
    <w:p w14:paraId="0A472EE9" w14:textId="77777777" w:rsidR="002767EC" w:rsidRPr="009F384D" w:rsidRDefault="002767EC" w:rsidP="002767EC">
      <w:pPr>
        <w:rPr>
          <w:sz w:val="20"/>
          <w:szCs w:val="20"/>
          <w:lang w:val="el-GR"/>
        </w:rPr>
      </w:pPr>
      <w:r w:rsidRPr="009F384D">
        <w:rPr>
          <w:sz w:val="20"/>
          <w:szCs w:val="20"/>
          <w:lang w:val="el-GR"/>
        </w:rPr>
        <w:t xml:space="preserve">Dortch, Q., Robichaux, R., Pool, S., Milsted, D., Mire, G., Rabalais, N., Soniat, T., Fryxell, G., Turner, R., Parsons, M., 1997. Abundance and vertical flux of Pseudo-nitzschia in the northern Gulf of Mexico. Marine Ecology Progress Series 146, 249–264. </w:t>
      </w:r>
      <w:hyperlink r:id="rId100" w:history="1">
        <w:r w:rsidRPr="009F384D">
          <w:rPr>
            <w:sz w:val="20"/>
            <w:szCs w:val="20"/>
            <w:lang w:val="el-GR"/>
          </w:rPr>
          <w:t>https://doi.org/10.3354/meps146249</w:t>
        </w:r>
      </w:hyperlink>
    </w:p>
    <w:p w14:paraId="67DF69B3" w14:textId="77777777" w:rsidR="002767EC" w:rsidRPr="009F384D" w:rsidRDefault="002767EC" w:rsidP="002767EC">
      <w:pPr>
        <w:rPr>
          <w:sz w:val="20"/>
          <w:szCs w:val="20"/>
        </w:rPr>
      </w:pPr>
      <w:r w:rsidRPr="009F384D">
        <w:rPr>
          <w:sz w:val="20"/>
          <w:szCs w:val="20"/>
          <w:lang w:val="el-GR"/>
        </w:rPr>
        <w:t>Duarte, R., Mainar, A., S</w:t>
      </w:r>
      <w:r w:rsidRPr="009F384D">
        <w:rPr>
          <w:sz w:val="20"/>
          <w:szCs w:val="20"/>
        </w:rPr>
        <w:t xml:space="preserve">ánchez-Chóliz, J., 2013. The role of consumption patterns, demand and technological factors on the recent evolution of CO2 emissions in a group of advanced economies. Ecological Economics 96, 1–13. </w:t>
      </w:r>
      <w:hyperlink r:id="rId101" w:history="1">
        <w:r w:rsidRPr="009F384D">
          <w:rPr>
            <w:sz w:val="20"/>
            <w:szCs w:val="20"/>
          </w:rPr>
          <w:t>https://doi.org/10.1016/j.ecolecon.2013.09.007</w:t>
        </w:r>
      </w:hyperlink>
    </w:p>
    <w:p w14:paraId="00E6D5B1" w14:textId="77777777" w:rsidR="002767EC" w:rsidRPr="009F384D" w:rsidRDefault="002767EC" w:rsidP="002767EC">
      <w:pPr>
        <w:rPr>
          <w:sz w:val="20"/>
          <w:szCs w:val="20"/>
        </w:rPr>
      </w:pPr>
      <w:r w:rsidRPr="009F384D">
        <w:rPr>
          <w:sz w:val="20"/>
          <w:szCs w:val="20"/>
        </w:rPr>
        <w:t xml:space="preserve">Edmondson, W.T., Lehman, J.T., 1981. The effect of changes in the nutrient income on the condition of Lake Washington1. Limnology and Oceanography 26, 1–29. </w:t>
      </w:r>
      <w:hyperlink r:id="rId102" w:history="1">
        <w:r w:rsidRPr="009F384D">
          <w:rPr>
            <w:sz w:val="20"/>
            <w:szCs w:val="20"/>
          </w:rPr>
          <w:t>https://doi.org/10.4319/lo.1981.26.1.0001</w:t>
        </w:r>
      </w:hyperlink>
    </w:p>
    <w:p w14:paraId="32A09CBA" w14:textId="77777777" w:rsidR="002767EC" w:rsidRPr="009F384D" w:rsidRDefault="002767EC" w:rsidP="002767EC">
      <w:pPr>
        <w:rPr>
          <w:sz w:val="20"/>
          <w:szCs w:val="20"/>
        </w:rPr>
      </w:pPr>
      <w:r w:rsidRPr="009F384D">
        <w:rPr>
          <w:sz w:val="20"/>
          <w:szCs w:val="20"/>
        </w:rPr>
        <w:t xml:space="preserve">Elmgren, R., Larsson, U., 2001. Nitrogen and the Baltic Sea: Managing Nitrogen in Relation to Phosphorus [WWW Document]. The Scientific World Journal. </w:t>
      </w:r>
      <w:hyperlink r:id="rId103" w:history="1">
        <w:r w:rsidRPr="009F384D">
          <w:rPr>
            <w:sz w:val="20"/>
            <w:szCs w:val="20"/>
          </w:rPr>
          <w:t>https://doi.org/10.1100/tsw.2001.291</w:t>
        </w:r>
      </w:hyperlink>
    </w:p>
    <w:p w14:paraId="56A9529A" w14:textId="77777777" w:rsidR="002767EC" w:rsidRPr="009F384D" w:rsidRDefault="002767EC" w:rsidP="002767EC">
      <w:pPr>
        <w:rPr>
          <w:sz w:val="20"/>
          <w:szCs w:val="20"/>
        </w:rPr>
      </w:pPr>
      <w:r w:rsidRPr="009F384D">
        <w:rPr>
          <w:sz w:val="20"/>
          <w:szCs w:val="20"/>
        </w:rPr>
        <w:t xml:space="preserve">Fan, L., Brett, M.T., Jiang, W., Li, B., 2017. Dissolved organic nitrogen recalcitrance and bioavailable nitrogen quantification for effluents from advanced nitrogen removal wastewater treatment facilities. Environ. Pollut. 229, 255–263. </w:t>
      </w:r>
      <w:hyperlink r:id="rId104" w:history="1">
        <w:r w:rsidRPr="009F384D">
          <w:rPr>
            <w:sz w:val="20"/>
            <w:szCs w:val="20"/>
          </w:rPr>
          <w:t>https://doi.org/10.1016/j.envpol.2017.05.093</w:t>
        </w:r>
      </w:hyperlink>
    </w:p>
    <w:p w14:paraId="38D2CAC8" w14:textId="77777777" w:rsidR="002767EC" w:rsidRPr="009F384D" w:rsidRDefault="002767EC" w:rsidP="002767EC">
      <w:pPr>
        <w:rPr>
          <w:sz w:val="20"/>
          <w:szCs w:val="20"/>
        </w:rPr>
      </w:pPr>
      <w:r w:rsidRPr="009F384D">
        <w:rPr>
          <w:sz w:val="20"/>
          <w:szCs w:val="20"/>
        </w:rPr>
        <w:t xml:space="preserve">Federal Geographic Data Committee (FGDC), 2013. Classification of Wetlands and Deepwater Habitats of the United States (No. FGDC-STD-004-2013. Second Edition). Wetlands Subcommittee, Federal Geographic Data Committee and U.S. Fish and Wildlife Service, Washington, DC. </w:t>
      </w:r>
      <w:hyperlink r:id="rId105" w:history="1">
        <w:r w:rsidRPr="009F384D">
          <w:rPr>
            <w:sz w:val="20"/>
            <w:szCs w:val="20"/>
          </w:rPr>
          <w:t>https://doi.org/10.1002/047147844X.sw2162</w:t>
        </w:r>
      </w:hyperlink>
    </w:p>
    <w:p w14:paraId="09BA1AF3" w14:textId="77777777" w:rsidR="002767EC" w:rsidRPr="009F384D" w:rsidRDefault="002767EC" w:rsidP="002767EC">
      <w:pPr>
        <w:rPr>
          <w:sz w:val="20"/>
          <w:szCs w:val="20"/>
        </w:rPr>
      </w:pPr>
      <w:r w:rsidRPr="009F384D">
        <w:rPr>
          <w:sz w:val="20"/>
          <w:szCs w:val="20"/>
        </w:rPr>
        <w:t xml:space="preserve">Feely, R.A., Sabine, C.L., Hernandez-Ayon, J.M., Ianson, D., Hales, B., 2008. Evidence for Upwelling of Corrosive “Acidified” Water onto the Continental Shelf. Science 320, 1490–1492. </w:t>
      </w:r>
      <w:hyperlink r:id="rId106" w:history="1">
        <w:r w:rsidRPr="009F384D">
          <w:rPr>
            <w:sz w:val="20"/>
            <w:szCs w:val="20"/>
          </w:rPr>
          <w:t>https://doi.org/10.1126/science.1155676</w:t>
        </w:r>
      </w:hyperlink>
    </w:p>
    <w:p w14:paraId="43A889E9" w14:textId="77777777" w:rsidR="002767EC" w:rsidRPr="009F384D" w:rsidRDefault="002767EC" w:rsidP="002767EC">
      <w:pPr>
        <w:rPr>
          <w:sz w:val="20"/>
          <w:szCs w:val="20"/>
        </w:rPr>
      </w:pPr>
      <w:r w:rsidRPr="009F384D">
        <w:rPr>
          <w:sz w:val="20"/>
          <w:szCs w:val="20"/>
        </w:rPr>
        <w:t xml:space="preserve">Fehling, J., Davidson, K., Bolch, C.J., Bates, S.S., 2004. Growth and Domoic Acid Production by Pseudo-Nitzschia Seriata (bacillariophyceae) Under Phosphate and Silicate Limitation1. Journal of Phycology 40, 674–683. </w:t>
      </w:r>
      <w:hyperlink r:id="rId107" w:history="1">
        <w:r w:rsidRPr="009F384D">
          <w:rPr>
            <w:sz w:val="20"/>
            <w:szCs w:val="20"/>
          </w:rPr>
          <w:t>https://doi.org/10.1111/j.1529-8817.2004.03213.x</w:t>
        </w:r>
      </w:hyperlink>
    </w:p>
    <w:p w14:paraId="33BF7AE0" w14:textId="77777777" w:rsidR="002767EC" w:rsidRPr="009F384D" w:rsidRDefault="002767EC" w:rsidP="002767EC">
      <w:pPr>
        <w:rPr>
          <w:sz w:val="20"/>
          <w:szCs w:val="20"/>
        </w:rPr>
      </w:pPr>
      <w:r w:rsidRPr="009F384D">
        <w:rPr>
          <w:sz w:val="20"/>
          <w:szCs w:val="20"/>
        </w:rPr>
        <w:t>Fetcho, K., 2007. Klamath River Blue-Green Algae Summary Report. Yurok Tribe: Klamath, CA, USA.</w:t>
      </w:r>
    </w:p>
    <w:p w14:paraId="53D9A4F0" w14:textId="77777777" w:rsidR="002767EC" w:rsidRPr="009F384D" w:rsidRDefault="002767EC" w:rsidP="002767EC">
      <w:pPr>
        <w:rPr>
          <w:sz w:val="20"/>
          <w:szCs w:val="20"/>
        </w:rPr>
      </w:pPr>
      <w:r w:rsidRPr="009F384D">
        <w:rPr>
          <w:sz w:val="20"/>
          <w:szCs w:val="20"/>
        </w:rPr>
        <w:t xml:space="preserve">Fetscher, A.E., Howard, M.D.A., Stancheva, R., Kudela, R.M., Stein, E.D., Sutula, M.A., Busse, L.B., Sheath, R.G., 2015. Wadeable streams as widespread sources of benthic cyanotoxins in California, USA. Harmful Algae 49, 105–116. </w:t>
      </w:r>
      <w:hyperlink r:id="rId108" w:history="1">
        <w:r w:rsidRPr="009F384D">
          <w:rPr>
            <w:sz w:val="20"/>
            <w:szCs w:val="20"/>
          </w:rPr>
          <w:t>https://doi.org/10.1016/j.hal.2015.09.002</w:t>
        </w:r>
      </w:hyperlink>
    </w:p>
    <w:p w14:paraId="5F99628D" w14:textId="77777777" w:rsidR="002767EC" w:rsidRPr="009F384D" w:rsidRDefault="002767EC" w:rsidP="002767EC">
      <w:pPr>
        <w:rPr>
          <w:sz w:val="20"/>
          <w:szCs w:val="20"/>
        </w:rPr>
      </w:pPr>
      <w:r w:rsidRPr="009F384D">
        <w:rPr>
          <w:sz w:val="20"/>
          <w:szCs w:val="20"/>
        </w:rPr>
        <w:t>Fetscher, A.E., Sutula, M.A., Sengupta, A., 2014. Linking Nutrients to Alterations in Aquatic Life in California Wadable Streams (Report for USEPA No. 0834). Southern California Coastal Water Research Project, Costa Mesa, CA.</w:t>
      </w:r>
    </w:p>
    <w:p w14:paraId="1A66B37C" w14:textId="77777777" w:rsidR="002767EC" w:rsidRPr="009F384D" w:rsidRDefault="002767EC" w:rsidP="002767EC">
      <w:pPr>
        <w:rPr>
          <w:sz w:val="20"/>
          <w:szCs w:val="20"/>
        </w:rPr>
      </w:pPr>
      <w:r w:rsidRPr="009F384D">
        <w:rPr>
          <w:sz w:val="20"/>
          <w:szCs w:val="20"/>
        </w:rPr>
        <w:t>Fevold, K.L., 1998. Sub-surface controls on the distribution of benthic algae in floodplain back channel habitats of the Queets Rive (Master’s thesis). University of Washington, Seattle.</w:t>
      </w:r>
    </w:p>
    <w:p w14:paraId="710063FA" w14:textId="77777777" w:rsidR="002767EC" w:rsidRPr="009F384D" w:rsidRDefault="002767EC" w:rsidP="002767EC">
      <w:pPr>
        <w:rPr>
          <w:sz w:val="20"/>
          <w:szCs w:val="20"/>
        </w:rPr>
      </w:pPr>
      <w:r w:rsidRPr="009F384D">
        <w:rPr>
          <w:sz w:val="20"/>
          <w:szCs w:val="20"/>
        </w:rPr>
        <w:t xml:space="preserve">Findlay, S., 2010. Stream microbial ecology. Journal of the North American Benthological Society 29, 170–181. </w:t>
      </w:r>
      <w:hyperlink r:id="rId109" w:history="1">
        <w:r w:rsidRPr="009F384D">
          <w:rPr>
            <w:sz w:val="20"/>
            <w:szCs w:val="20"/>
          </w:rPr>
          <w:t>https://doi.org/10.1899/09-023.1</w:t>
        </w:r>
      </w:hyperlink>
    </w:p>
    <w:p w14:paraId="3708560C" w14:textId="77777777" w:rsidR="002767EC" w:rsidRPr="009F384D" w:rsidRDefault="002767EC" w:rsidP="002767EC">
      <w:pPr>
        <w:rPr>
          <w:sz w:val="20"/>
          <w:szCs w:val="20"/>
        </w:rPr>
      </w:pPr>
      <w:r w:rsidRPr="009F384D">
        <w:rPr>
          <w:sz w:val="20"/>
          <w:szCs w:val="20"/>
        </w:rPr>
        <w:t xml:space="preserve">Fisher, W.S., Malone, T.C., Giattina, J.D., 2003. A Pilot Project to Detect and Forecast Harmful Algal Blooms in the Northern Gulf of Mexico, in: Melzian, B.D., Engle, V., McAlister, M., Sandhu, S., Eads, L.K. (Eds.), Coastal Monitoring through Partnerships: Proceedings of the Fifth Symposium on the Environmental Monitoring and Assessment Program (EMAP) Pensacola Beach, FL, U.S.A., April 24–27, 2001. Springer Netherlands, Dordrecht, pp. 373–381. </w:t>
      </w:r>
      <w:hyperlink r:id="rId110" w:history="1">
        <w:r w:rsidRPr="009F384D">
          <w:rPr>
            <w:sz w:val="20"/>
            <w:szCs w:val="20"/>
          </w:rPr>
          <w:t>https://doi.org/10.1007/978-94-017-0299-7_31</w:t>
        </w:r>
      </w:hyperlink>
    </w:p>
    <w:p w14:paraId="55D9D74F" w14:textId="77777777" w:rsidR="002767EC" w:rsidRPr="009F384D" w:rsidRDefault="002767EC" w:rsidP="002767EC">
      <w:pPr>
        <w:rPr>
          <w:sz w:val="20"/>
          <w:szCs w:val="20"/>
        </w:rPr>
      </w:pPr>
      <w:r w:rsidRPr="009F384D">
        <w:rPr>
          <w:sz w:val="20"/>
          <w:szCs w:val="20"/>
        </w:rPr>
        <w:t xml:space="preserve">Fong, P., Zedler, J.B., Donohoe, R.M., 1993. Nitrogen vs. phosphorus limitation of algal biomass in shallow coastal lagoons. Limnology and Oceanography 38, 906–923. </w:t>
      </w:r>
      <w:hyperlink r:id="rId111" w:history="1">
        <w:r w:rsidRPr="009F384D">
          <w:rPr>
            <w:sz w:val="20"/>
            <w:szCs w:val="20"/>
          </w:rPr>
          <w:t>https://doi.org/10.4319/lo.1993.38.5.0906</w:t>
        </w:r>
      </w:hyperlink>
    </w:p>
    <w:p w14:paraId="2125E072" w14:textId="77777777" w:rsidR="002767EC" w:rsidRPr="009F384D" w:rsidRDefault="002767EC" w:rsidP="002767EC">
      <w:pPr>
        <w:rPr>
          <w:sz w:val="20"/>
          <w:szCs w:val="20"/>
        </w:rPr>
      </w:pPr>
      <w:r w:rsidRPr="009F384D">
        <w:rPr>
          <w:sz w:val="20"/>
          <w:szCs w:val="20"/>
        </w:rPr>
        <w:t xml:space="preserve">Fritz, L., Quilliam, M.A., Wright, J.L.C., Beale, A.M., Work, T.M., 1992. An Outbreak of Domoic Acid Poisoning Attributed to the Pennate Diatom Pseudonitzschia Australis1. Journal of Phycology 28, 439–442. </w:t>
      </w:r>
      <w:hyperlink r:id="rId112" w:history="1">
        <w:r w:rsidRPr="009F384D">
          <w:rPr>
            <w:sz w:val="20"/>
            <w:szCs w:val="20"/>
          </w:rPr>
          <w:t>https://doi.org/10.1111/j.0022-3646.1992.00439.x</w:t>
        </w:r>
      </w:hyperlink>
    </w:p>
    <w:p w14:paraId="45203AB9" w14:textId="77777777" w:rsidR="002767EC" w:rsidRPr="009F384D" w:rsidRDefault="002767EC" w:rsidP="002767EC">
      <w:pPr>
        <w:rPr>
          <w:sz w:val="20"/>
          <w:szCs w:val="20"/>
        </w:rPr>
      </w:pPr>
      <w:r w:rsidRPr="009F384D">
        <w:rPr>
          <w:sz w:val="20"/>
          <w:szCs w:val="20"/>
        </w:rPr>
        <w:t xml:space="preserve">Gibble, C.M., Kudela, R.M., 2014. Detection of persistent microcystin toxins at the land–sea interface in Monterey Bay, California. Harmful Algae 39, 146–153. </w:t>
      </w:r>
      <w:hyperlink r:id="rId113" w:history="1">
        <w:r w:rsidRPr="009F384D">
          <w:rPr>
            <w:sz w:val="20"/>
            <w:szCs w:val="20"/>
          </w:rPr>
          <w:t>https://doi.org/10.1016/j.hal.2014.07.004</w:t>
        </w:r>
      </w:hyperlink>
    </w:p>
    <w:p w14:paraId="0079A5BA" w14:textId="77777777" w:rsidR="002767EC" w:rsidRPr="009F384D" w:rsidRDefault="002767EC" w:rsidP="002767EC">
      <w:pPr>
        <w:rPr>
          <w:sz w:val="20"/>
          <w:szCs w:val="20"/>
        </w:rPr>
      </w:pPr>
      <w:r w:rsidRPr="009F384D">
        <w:rPr>
          <w:sz w:val="20"/>
          <w:szCs w:val="20"/>
        </w:rPr>
        <w:t xml:space="preserve">Gillett, D.J., Weisberg, S.B., Grayson, T., Hamilton, A., Hansen, V., Leppo, E.W., Pelletier, M.C., Borja, A., Cadien, D., Dauer, D., Diaz, R., Dutch, M., Hyland, J.L., Kellogg, M., Larsen, P.F., Levinton, J.S., Llansó, R., Lovell, L.L., Montagna, P.A., Pasko, D., Phillips, C.A., Rakocinski, C., Ranasinghe, J.A., Sanger, D.M., Teixeira, H., Dolah, R.F.V., Velarde, R.G., Welch, K.I., 2015. Effect of ecological group classification schemes on performance of the AMBI benthic index in US coastal waters. Ecological Indicators 50, 99–107. </w:t>
      </w:r>
      <w:hyperlink r:id="rId114" w:history="1">
        <w:r w:rsidRPr="009F384D">
          <w:rPr>
            <w:sz w:val="20"/>
            <w:szCs w:val="20"/>
          </w:rPr>
          <w:t>https://doi.org/10.1016/j.ecolind.2014.11.005</w:t>
        </w:r>
      </w:hyperlink>
    </w:p>
    <w:p w14:paraId="55D76DDE" w14:textId="77777777" w:rsidR="002767EC" w:rsidRPr="009F384D" w:rsidRDefault="002767EC" w:rsidP="002767EC">
      <w:pPr>
        <w:rPr>
          <w:sz w:val="20"/>
          <w:szCs w:val="20"/>
        </w:rPr>
      </w:pPr>
      <w:r w:rsidRPr="009F384D">
        <w:rPr>
          <w:sz w:val="20"/>
          <w:szCs w:val="20"/>
        </w:rPr>
        <w:t xml:space="preserve">Glasgow, H.B., Burkholder, J.M., 2000. Water Quality Trends and Management Implications from a Five-Year Study of a Eutrophic Estuary. Ecological Applications 10, 1024–1046. </w:t>
      </w:r>
      <w:hyperlink r:id="rId115" w:history="1">
        <w:r w:rsidRPr="009F384D">
          <w:rPr>
            <w:sz w:val="20"/>
            <w:szCs w:val="20"/>
          </w:rPr>
          <w:t>https://doi.org/10.1890/1051-0761(2000)010[1024:WQTAMI]2.0.CO;2</w:t>
        </w:r>
      </w:hyperlink>
    </w:p>
    <w:p w14:paraId="449EB850" w14:textId="77777777" w:rsidR="002767EC" w:rsidRPr="009F384D" w:rsidRDefault="002767EC" w:rsidP="002767EC">
      <w:pPr>
        <w:rPr>
          <w:sz w:val="20"/>
          <w:szCs w:val="20"/>
        </w:rPr>
      </w:pPr>
      <w:r w:rsidRPr="009F384D">
        <w:rPr>
          <w:sz w:val="20"/>
          <w:szCs w:val="20"/>
        </w:rPr>
        <w:t xml:space="preserve">Graham, N.J.D., Wardlaw, V.E., Perry, R., Jiang, J.-Q., 1998. The significance of algae as trihalomethane precursors. Water Science and Technology, Reservoir Management and Water Supply — An Integrated System 37, 83–89. </w:t>
      </w:r>
      <w:hyperlink r:id="rId116" w:history="1">
        <w:r w:rsidRPr="009F384D">
          <w:rPr>
            <w:sz w:val="20"/>
            <w:szCs w:val="20"/>
          </w:rPr>
          <w:t>https://doi.org/10.1016/S0273-1223(98)00013-4</w:t>
        </w:r>
      </w:hyperlink>
    </w:p>
    <w:p w14:paraId="1811B220" w14:textId="77777777" w:rsidR="002767EC" w:rsidRPr="009F384D" w:rsidRDefault="002767EC" w:rsidP="002767EC">
      <w:pPr>
        <w:rPr>
          <w:sz w:val="20"/>
          <w:szCs w:val="20"/>
        </w:rPr>
      </w:pPr>
      <w:r w:rsidRPr="009F384D">
        <w:rPr>
          <w:sz w:val="20"/>
          <w:szCs w:val="20"/>
        </w:rPr>
        <w:t xml:space="preserve">Gray, J.S., Wu, R.S., Or, Y.Y., 2002. Effects of hypoxia and organic enrichment on the coastal marine environment. Marine Ecology Progress Series 238, 249–279. </w:t>
      </w:r>
      <w:hyperlink r:id="rId117" w:history="1">
        <w:r w:rsidRPr="009F384D">
          <w:rPr>
            <w:sz w:val="20"/>
            <w:szCs w:val="20"/>
          </w:rPr>
          <w:t>https://doi.org/10.3354/meps238249</w:t>
        </w:r>
      </w:hyperlink>
    </w:p>
    <w:p w14:paraId="79EB4007" w14:textId="77777777" w:rsidR="002767EC" w:rsidRPr="009F384D" w:rsidRDefault="002767EC" w:rsidP="002767EC">
      <w:pPr>
        <w:rPr>
          <w:sz w:val="20"/>
          <w:szCs w:val="20"/>
        </w:rPr>
      </w:pPr>
      <w:r w:rsidRPr="009F384D">
        <w:rPr>
          <w:sz w:val="20"/>
          <w:szCs w:val="20"/>
        </w:rPr>
        <w:t xml:space="preserve">Green, L., Sutula, M., Fong, P., 2014. How much is too much? Identifying benchmarks of adverse effects of macroalgae on the macrofauna in intertidal flats. Ecological Applications 24, 300–314. </w:t>
      </w:r>
      <w:hyperlink r:id="rId118" w:history="1">
        <w:r w:rsidRPr="009F384D">
          <w:rPr>
            <w:sz w:val="20"/>
            <w:szCs w:val="20"/>
          </w:rPr>
          <w:t>https://doi.org/10.1890/13-0524.1</w:t>
        </w:r>
      </w:hyperlink>
    </w:p>
    <w:p w14:paraId="5104348B" w14:textId="77777777" w:rsidR="002767EC" w:rsidRPr="009F384D" w:rsidRDefault="002767EC" w:rsidP="002767EC">
      <w:pPr>
        <w:rPr>
          <w:sz w:val="20"/>
          <w:szCs w:val="20"/>
        </w:rPr>
      </w:pPr>
      <w:r w:rsidRPr="009F384D">
        <w:rPr>
          <w:sz w:val="20"/>
          <w:szCs w:val="20"/>
        </w:rPr>
        <w:t>Harper, D.M., 1992. Eutrophication of freshwaters. Chapman &amp; Hall, London.</w:t>
      </w:r>
    </w:p>
    <w:p w14:paraId="296096D5" w14:textId="77777777" w:rsidR="002767EC" w:rsidRPr="009F384D" w:rsidRDefault="002767EC" w:rsidP="002767EC">
      <w:pPr>
        <w:rPr>
          <w:sz w:val="20"/>
          <w:szCs w:val="20"/>
        </w:rPr>
      </w:pPr>
      <w:r w:rsidRPr="009F384D">
        <w:rPr>
          <w:sz w:val="20"/>
          <w:szCs w:val="20"/>
        </w:rPr>
        <w:t>Harter, T., Lund, J.R., Darby, J., Fogg, G.E., Howitt, R., Jessoe, K.K., Pettygrove, G.S., Quinn, J.F., Viers, J.H., Boyle, D.B., Canada, H.E., Dzurella, K.N., Fryjoff, A., Hollander, A.D., Honeycutt, K.L., Jenkins, M.W., Jensen, V.B., Kourakos, G., Liptzin, D., Mayzelle, M.M., McNally, A., Rosenstock, T.S., Lawrence, C., Dolan, D.V., 2012. Addressing Nitrate in California’s Drinking Water with a Focus on Tulare Lake Basin and Salinas Valley Groundwater. Report for the State Water Resources Control Board Report to the Legislature. Center for Watershed Sciences, University of California, Davis, Davis, CA.</w:t>
      </w:r>
    </w:p>
    <w:p w14:paraId="79873727" w14:textId="77777777" w:rsidR="002767EC" w:rsidRPr="009F384D" w:rsidRDefault="002767EC" w:rsidP="002767EC">
      <w:pPr>
        <w:rPr>
          <w:sz w:val="20"/>
          <w:szCs w:val="20"/>
        </w:rPr>
      </w:pPr>
      <w:r w:rsidRPr="009F384D">
        <w:rPr>
          <w:sz w:val="20"/>
          <w:szCs w:val="20"/>
        </w:rPr>
        <w:t xml:space="preserve">Hawkins, C.P., Murphy, M.L., Anderson, N.H., 1982. Effects of Canopy, Substrate Composition, and Gradient on the Structure of Macroinvertebrate Communities in Cascade Range Streams of Oregon. Ecology 63, 1840–1856. </w:t>
      </w:r>
      <w:hyperlink r:id="rId119" w:history="1">
        <w:r w:rsidRPr="009F384D">
          <w:rPr>
            <w:sz w:val="20"/>
            <w:szCs w:val="20"/>
          </w:rPr>
          <w:t>https://doi.org/10.2307/1940125</w:t>
        </w:r>
      </w:hyperlink>
    </w:p>
    <w:p w14:paraId="535BC1D6" w14:textId="77777777" w:rsidR="002767EC" w:rsidRPr="009F384D" w:rsidRDefault="002767EC" w:rsidP="002767EC">
      <w:pPr>
        <w:rPr>
          <w:sz w:val="20"/>
          <w:szCs w:val="20"/>
        </w:rPr>
      </w:pPr>
      <w:r w:rsidRPr="009F384D">
        <w:rPr>
          <w:sz w:val="20"/>
          <w:szCs w:val="20"/>
        </w:rPr>
        <w:t xml:space="preserve">Heiskary, S., Markus, H., 2001. Establishing Relationships Among Nutrient Concentrations, Phytoplankton Abundance, and Biochemical Oxygen Demand in Minnesota, USA, Rivers. Lake and Reservoir Management 17, 251–262. </w:t>
      </w:r>
      <w:hyperlink r:id="rId120" w:history="1">
        <w:r w:rsidRPr="009F384D">
          <w:rPr>
            <w:sz w:val="20"/>
            <w:szCs w:val="20"/>
          </w:rPr>
          <w:t>https://doi.org/10.1080/07438140109354134</w:t>
        </w:r>
      </w:hyperlink>
    </w:p>
    <w:p w14:paraId="02281386" w14:textId="77777777" w:rsidR="002767EC" w:rsidRPr="009F384D" w:rsidRDefault="002767EC" w:rsidP="002767EC">
      <w:pPr>
        <w:rPr>
          <w:sz w:val="20"/>
          <w:szCs w:val="20"/>
        </w:rPr>
      </w:pPr>
      <w:r w:rsidRPr="009F384D">
        <w:rPr>
          <w:sz w:val="20"/>
          <w:szCs w:val="20"/>
        </w:rPr>
        <w:t xml:space="preserve">Howard, M.D.A., Cochlan, W.P., Ladizinsky, N., Kudela, R.M., 2007. Nitrogenous preference of toxigenic Pseudo-nitzschia australis (Bacillariophyceae) from field and laboratory experiments. Harmful Algae 6, 206–217. </w:t>
      </w:r>
      <w:hyperlink r:id="rId121" w:history="1">
        <w:r w:rsidRPr="009F384D">
          <w:rPr>
            <w:sz w:val="20"/>
            <w:szCs w:val="20"/>
          </w:rPr>
          <w:t>https://doi.org/10.1016/j.hal.2006.06.003</w:t>
        </w:r>
      </w:hyperlink>
    </w:p>
    <w:p w14:paraId="5681BAEB" w14:textId="77777777" w:rsidR="002767EC" w:rsidRPr="009F384D" w:rsidRDefault="002767EC" w:rsidP="002767EC">
      <w:pPr>
        <w:rPr>
          <w:sz w:val="20"/>
          <w:szCs w:val="20"/>
        </w:rPr>
      </w:pPr>
      <w:r w:rsidRPr="009F384D">
        <w:rPr>
          <w:sz w:val="20"/>
          <w:szCs w:val="20"/>
        </w:rPr>
        <w:t xml:space="preserve">Howard, M.D.A., Sutula, M., Caron, D.A., Chao, Y., Farrara, J.D., Frenzel, H., Jones, B., Robertson, G., McLaughlin, K., Sengupta, A., 2014. Anthropogenic nutrient sources rival natural sources on small scales in the coastal waters of the Southern California Bight. Limnology and Oceanography 59, 285–297. </w:t>
      </w:r>
      <w:hyperlink r:id="rId122" w:history="1">
        <w:r w:rsidRPr="009F384D">
          <w:rPr>
            <w:sz w:val="20"/>
            <w:szCs w:val="20"/>
          </w:rPr>
          <w:t>https://doi.org/10.4319/lo.2014.59.1.0285</w:t>
        </w:r>
      </w:hyperlink>
    </w:p>
    <w:p w14:paraId="49ECAEE7" w14:textId="77777777" w:rsidR="002767EC" w:rsidRPr="009F384D" w:rsidRDefault="002767EC" w:rsidP="002767EC">
      <w:pPr>
        <w:rPr>
          <w:sz w:val="20"/>
          <w:szCs w:val="20"/>
        </w:rPr>
      </w:pPr>
      <w:r w:rsidRPr="009F384D">
        <w:rPr>
          <w:sz w:val="20"/>
          <w:szCs w:val="20"/>
        </w:rPr>
        <w:t xml:space="preserve">Howarth, R.W., 1988. Nutrient Limitation of Net Primary Production in Marine Ecosystems. Annual Review of Ecology and Systematics 19, 89–110. </w:t>
      </w:r>
      <w:hyperlink r:id="rId123" w:history="1">
        <w:r w:rsidRPr="009F384D">
          <w:rPr>
            <w:sz w:val="20"/>
            <w:szCs w:val="20"/>
          </w:rPr>
          <w:t>https://doi.org/10.1146/annurev.es.19.110188.000513</w:t>
        </w:r>
      </w:hyperlink>
    </w:p>
    <w:p w14:paraId="17FEA31F" w14:textId="77777777" w:rsidR="002767EC" w:rsidRPr="009F384D" w:rsidRDefault="002767EC" w:rsidP="002767EC">
      <w:pPr>
        <w:rPr>
          <w:sz w:val="20"/>
          <w:szCs w:val="20"/>
        </w:rPr>
      </w:pPr>
      <w:r w:rsidRPr="009F384D">
        <w:rPr>
          <w:sz w:val="20"/>
          <w:szCs w:val="20"/>
        </w:rPr>
        <w:t xml:space="preserve">Howarth, R.W., Sharpley, A., Walker, D., 2002. Sources of nutrient pollution to coastal waters in the United States: Implications for achieving coastal water quality goals. Estuaries 25, 656–676. </w:t>
      </w:r>
      <w:hyperlink r:id="rId124" w:history="1">
        <w:r w:rsidRPr="009F384D">
          <w:rPr>
            <w:sz w:val="20"/>
            <w:szCs w:val="20"/>
          </w:rPr>
          <w:t>https://doi.org/10.1007/BF02804898</w:t>
        </w:r>
      </w:hyperlink>
    </w:p>
    <w:p w14:paraId="1EC48F84" w14:textId="77777777" w:rsidR="002767EC" w:rsidRPr="009F384D" w:rsidRDefault="002767EC" w:rsidP="002767EC">
      <w:pPr>
        <w:rPr>
          <w:sz w:val="20"/>
          <w:szCs w:val="20"/>
        </w:rPr>
      </w:pPr>
      <w:r w:rsidRPr="009F384D">
        <w:rPr>
          <w:sz w:val="20"/>
          <w:szCs w:val="20"/>
        </w:rPr>
        <w:t xml:space="preserve">Hughes, B., Haskins, J., Wasson, K., Watson, E., 2011. Identifying factors that influence expression of eutrophication in a central California estuary. Marine Ecology Progress Series 439, 31–43. </w:t>
      </w:r>
      <w:hyperlink r:id="rId125" w:history="1">
        <w:r w:rsidRPr="009F384D">
          <w:rPr>
            <w:sz w:val="20"/>
            <w:szCs w:val="20"/>
          </w:rPr>
          <w:t>https://doi.org/10.3354/meps09295</w:t>
        </w:r>
      </w:hyperlink>
    </w:p>
    <w:p w14:paraId="75C277B8" w14:textId="77777777" w:rsidR="002767EC" w:rsidRPr="009F384D" w:rsidRDefault="002767EC" w:rsidP="002767EC">
      <w:pPr>
        <w:rPr>
          <w:sz w:val="20"/>
          <w:szCs w:val="20"/>
        </w:rPr>
      </w:pPr>
      <w:r w:rsidRPr="009F384D">
        <w:rPr>
          <w:sz w:val="20"/>
          <w:szCs w:val="20"/>
        </w:rPr>
        <w:t xml:space="preserve">Hynes, H.B.N., 1970. Eutrophication: Causes, Consequences, Correctives. National Academy of Sciences, Washington, D.C. </w:t>
      </w:r>
      <w:hyperlink r:id="rId126" w:history="1">
        <w:r w:rsidRPr="009F384D">
          <w:rPr>
            <w:sz w:val="20"/>
            <w:szCs w:val="20"/>
          </w:rPr>
          <w:t>https://doi.org/10.17226/20256</w:t>
        </w:r>
      </w:hyperlink>
    </w:p>
    <w:p w14:paraId="4077B399" w14:textId="77777777" w:rsidR="002767EC" w:rsidRPr="009F384D" w:rsidRDefault="002767EC" w:rsidP="002767EC">
      <w:pPr>
        <w:rPr>
          <w:sz w:val="20"/>
          <w:szCs w:val="20"/>
        </w:rPr>
      </w:pPr>
      <w:r w:rsidRPr="009F384D">
        <w:rPr>
          <w:sz w:val="20"/>
          <w:szCs w:val="20"/>
        </w:rPr>
        <w:t xml:space="preserve">Jacoby, J.M., Kann, J., 2007. The occurrence and response to toxic cyanobacteria in the Pacific Northwest, North America. Lake and Reservoir Management 23, 123–143. </w:t>
      </w:r>
      <w:hyperlink r:id="rId127" w:history="1">
        <w:r w:rsidRPr="009F384D">
          <w:rPr>
            <w:sz w:val="20"/>
            <w:szCs w:val="20"/>
          </w:rPr>
          <w:t>https://doi.org/10.1080/07438140709353916</w:t>
        </w:r>
      </w:hyperlink>
    </w:p>
    <w:p w14:paraId="4B31C1D5" w14:textId="77777777" w:rsidR="002767EC" w:rsidRPr="009F384D" w:rsidRDefault="002767EC" w:rsidP="002767EC">
      <w:pPr>
        <w:rPr>
          <w:sz w:val="20"/>
          <w:szCs w:val="20"/>
        </w:rPr>
      </w:pPr>
      <w:r w:rsidRPr="009F384D">
        <w:rPr>
          <w:sz w:val="20"/>
          <w:szCs w:val="20"/>
        </w:rPr>
        <w:t>Jassby, A., 2008. Phytoplankton in the Upper San Francisco Estuary: Recent Biomass Trends, Their Causes, and Their Trophic Significance. San Francisco Estuary and Watershed Science 6.</w:t>
      </w:r>
    </w:p>
    <w:p w14:paraId="4EE5ECA2" w14:textId="77777777" w:rsidR="002767EC" w:rsidRPr="009F384D" w:rsidRDefault="002767EC" w:rsidP="002767EC">
      <w:pPr>
        <w:rPr>
          <w:sz w:val="20"/>
          <w:szCs w:val="20"/>
        </w:rPr>
      </w:pPr>
      <w:r w:rsidRPr="009F384D">
        <w:rPr>
          <w:sz w:val="20"/>
          <w:szCs w:val="20"/>
        </w:rPr>
        <w:t xml:space="preserve">Jeppesen, R., Rodriguez, M., Rinde, J., Haskins, J., Hughes, B., Mehner, L., Wasson, K., 2018. Effects of Hypoxia on Fish Survival and Oyster Growth in a Highly Eutrophic Estuary. Estuaries and Coasts 41, 89–98. </w:t>
      </w:r>
      <w:hyperlink r:id="rId128" w:history="1">
        <w:r w:rsidRPr="009F384D">
          <w:rPr>
            <w:sz w:val="20"/>
            <w:szCs w:val="20"/>
          </w:rPr>
          <w:t>https://doi.org/10.1007/s12237-016-0169-y</w:t>
        </w:r>
      </w:hyperlink>
    </w:p>
    <w:p w14:paraId="65B3DE0A" w14:textId="77777777" w:rsidR="002767EC" w:rsidRPr="009F384D" w:rsidRDefault="002767EC" w:rsidP="002767EC">
      <w:pPr>
        <w:rPr>
          <w:sz w:val="20"/>
          <w:szCs w:val="20"/>
        </w:rPr>
      </w:pPr>
      <w:r w:rsidRPr="009F384D">
        <w:rPr>
          <w:sz w:val="20"/>
          <w:szCs w:val="20"/>
        </w:rPr>
        <w:t xml:space="preserve">Kaiser, J., 1999. Battle Over a Dying Sea. Science 284, 28–30. </w:t>
      </w:r>
      <w:hyperlink r:id="rId129" w:history="1">
        <w:r w:rsidRPr="009F384D">
          <w:rPr>
            <w:sz w:val="20"/>
            <w:szCs w:val="20"/>
          </w:rPr>
          <w:t>https://doi.org/10.1126/science.284.5411.28</w:t>
        </w:r>
      </w:hyperlink>
    </w:p>
    <w:p w14:paraId="405A01A5" w14:textId="77777777" w:rsidR="002767EC" w:rsidRPr="009F384D" w:rsidRDefault="002767EC" w:rsidP="002767EC">
      <w:pPr>
        <w:rPr>
          <w:sz w:val="20"/>
          <w:szCs w:val="20"/>
        </w:rPr>
      </w:pPr>
      <w:r w:rsidRPr="009F384D">
        <w:rPr>
          <w:sz w:val="20"/>
          <w:szCs w:val="20"/>
        </w:rPr>
        <w:t>Kann, J., 2008. Microcystin Bioaccumulation in Klamath River Fish and Freshwater Mussel Tissue: Preliminary 2007 Results (Technical Memorandum). Aquatic Ecosystem Sciences LLC.</w:t>
      </w:r>
    </w:p>
    <w:p w14:paraId="57FDF2E1" w14:textId="77777777" w:rsidR="002767EC" w:rsidRPr="009F384D" w:rsidRDefault="002767EC" w:rsidP="002767EC">
      <w:pPr>
        <w:rPr>
          <w:sz w:val="20"/>
          <w:szCs w:val="20"/>
        </w:rPr>
      </w:pPr>
      <w:r w:rsidRPr="009F384D">
        <w:rPr>
          <w:sz w:val="20"/>
          <w:szCs w:val="20"/>
        </w:rPr>
        <w:t>Kann, J., 2004. Copco Lake Analysis (To: Kier and Associates) (Memo). Aquatic Ecosystem Sciences LLC, Ashland, OR.</w:t>
      </w:r>
    </w:p>
    <w:p w14:paraId="445B76B5" w14:textId="77777777" w:rsidR="002767EC" w:rsidRPr="009F384D" w:rsidRDefault="002767EC" w:rsidP="002767EC">
      <w:pPr>
        <w:rPr>
          <w:sz w:val="20"/>
          <w:szCs w:val="20"/>
        </w:rPr>
      </w:pPr>
      <w:r w:rsidRPr="009F384D">
        <w:rPr>
          <w:sz w:val="20"/>
          <w:szCs w:val="20"/>
        </w:rPr>
        <w:t xml:space="preserve">Kaplanis, N.J., Harris, J., Smith, J., 2016. Distribution patterns of the non-native seaweeds Sargassum horneri (Turner) C. Agardh and Undaria pinnatifida (Harvey) Suringar on the San Diego and Pacific coast of North America. Aquatic Invasions 11, 111–124. </w:t>
      </w:r>
      <w:hyperlink r:id="rId130" w:history="1">
        <w:r w:rsidRPr="009F384D">
          <w:rPr>
            <w:sz w:val="20"/>
            <w:szCs w:val="20"/>
          </w:rPr>
          <w:t>https://doi.org/10.3391/ai.2016.11.2.01</w:t>
        </w:r>
      </w:hyperlink>
    </w:p>
    <w:p w14:paraId="03E5D6D9" w14:textId="77777777" w:rsidR="002767EC" w:rsidRPr="009F384D" w:rsidRDefault="002767EC" w:rsidP="002767EC">
      <w:pPr>
        <w:rPr>
          <w:sz w:val="20"/>
          <w:szCs w:val="20"/>
        </w:rPr>
      </w:pPr>
      <w:r w:rsidRPr="009F384D">
        <w:rPr>
          <w:sz w:val="20"/>
          <w:szCs w:val="20"/>
        </w:rPr>
        <w:t>Karlson, K., 2002. Temporal and spatial large-scale effects of eutrophication and oxygen deficiency on benthic fauna in Scandinavian and Baltic waters-a review. Oceanogr. Mar. Biol. Ann. Rev. 40, 427–489.</w:t>
      </w:r>
    </w:p>
    <w:p w14:paraId="236FF530" w14:textId="77777777" w:rsidR="002767EC" w:rsidRPr="009F384D" w:rsidRDefault="002767EC" w:rsidP="002767EC">
      <w:pPr>
        <w:rPr>
          <w:sz w:val="20"/>
          <w:szCs w:val="20"/>
        </w:rPr>
      </w:pPr>
      <w:r w:rsidRPr="009F384D">
        <w:rPr>
          <w:sz w:val="20"/>
          <w:szCs w:val="20"/>
        </w:rPr>
        <w:t>Karr, J.R., Chu, E.W., 1999. Restoring Life in Running Waters: Better Biological Monitoring, 2nd ed. edition. ed. Island Press, Washington, D.C.</w:t>
      </w:r>
    </w:p>
    <w:p w14:paraId="191DE850" w14:textId="77777777" w:rsidR="002767EC" w:rsidRPr="009F384D" w:rsidRDefault="002767EC" w:rsidP="002767EC">
      <w:pPr>
        <w:rPr>
          <w:sz w:val="20"/>
          <w:szCs w:val="20"/>
        </w:rPr>
      </w:pPr>
      <w:r w:rsidRPr="009F384D">
        <w:rPr>
          <w:sz w:val="20"/>
          <w:szCs w:val="20"/>
        </w:rPr>
        <w:t>Kennison, R., Kamer, K., Fong, P., 2003. Nutrient dynamics and macroalgal blooms:  A Comparison of five southern California estuaries (No. 416). Southern California Coastal Water Research Project.</w:t>
      </w:r>
    </w:p>
    <w:p w14:paraId="2B660F8B" w14:textId="77777777" w:rsidR="002767EC" w:rsidRPr="009F384D" w:rsidRDefault="002767EC" w:rsidP="002767EC">
      <w:pPr>
        <w:rPr>
          <w:sz w:val="20"/>
          <w:szCs w:val="20"/>
        </w:rPr>
      </w:pPr>
      <w:r w:rsidRPr="009F384D">
        <w:rPr>
          <w:sz w:val="20"/>
          <w:szCs w:val="20"/>
        </w:rPr>
        <w:t xml:space="preserve">Kudela, R.M., 2011. Characterization and deployment of Solid Phase Adsorption Toxin Tracking (SPATT) resin for monitoring of microcystins in fresh and saltwater. Harmful Algae 11, 117–125. </w:t>
      </w:r>
      <w:hyperlink r:id="rId131" w:history="1">
        <w:r w:rsidRPr="009F384D">
          <w:rPr>
            <w:sz w:val="20"/>
            <w:szCs w:val="20"/>
          </w:rPr>
          <w:t>https://doi.org/10.1016/j.hal.2011.08.006</w:t>
        </w:r>
      </w:hyperlink>
    </w:p>
    <w:p w14:paraId="056F101B" w14:textId="77777777" w:rsidR="002767EC" w:rsidRPr="009F384D" w:rsidRDefault="002767EC" w:rsidP="002767EC">
      <w:pPr>
        <w:rPr>
          <w:sz w:val="20"/>
          <w:szCs w:val="20"/>
        </w:rPr>
      </w:pPr>
      <w:r w:rsidRPr="009F384D">
        <w:rPr>
          <w:sz w:val="20"/>
          <w:szCs w:val="20"/>
        </w:rPr>
        <w:t>Kudela, R.M., Banas, N.S., Barth, J.A., Frame, E.R., Jay, D.A., Largier, J.L., Lessard, E.J., Peterson, T.D., Vander Woude, A.J., 2008a. New insights into the controls and mechanisms of plankton productivity in coastal upwelling waters of the northern California Current System. Oceanography 21, 46–59.</w:t>
      </w:r>
    </w:p>
    <w:p w14:paraId="10C98FAA" w14:textId="77777777" w:rsidR="002767EC" w:rsidRPr="009F384D" w:rsidRDefault="002767EC" w:rsidP="002767EC">
      <w:pPr>
        <w:rPr>
          <w:sz w:val="20"/>
          <w:szCs w:val="20"/>
        </w:rPr>
      </w:pPr>
      <w:r w:rsidRPr="009F384D">
        <w:rPr>
          <w:sz w:val="20"/>
          <w:szCs w:val="20"/>
        </w:rPr>
        <w:t xml:space="preserve">Kudela, R.M., Lane, J.Q., Cochlan, W.P., 2008b. The potential role of anthropogenically derived nitrogen in the growth of harmful algae in California, USA. Harmful Algae, HABs and Eutrophication 8, 103–110. </w:t>
      </w:r>
      <w:hyperlink r:id="rId132" w:history="1">
        <w:r w:rsidRPr="009F384D">
          <w:rPr>
            <w:sz w:val="20"/>
            <w:szCs w:val="20"/>
          </w:rPr>
          <w:t>https://doi.org/10.1016/j.hal.2008.08.019</w:t>
        </w:r>
      </w:hyperlink>
    </w:p>
    <w:p w14:paraId="1F99148C" w14:textId="77777777" w:rsidR="002767EC" w:rsidRPr="009F384D" w:rsidRDefault="002767EC" w:rsidP="002767EC">
      <w:pPr>
        <w:rPr>
          <w:sz w:val="20"/>
          <w:szCs w:val="20"/>
        </w:rPr>
      </w:pPr>
      <w:r w:rsidRPr="009F384D">
        <w:rPr>
          <w:sz w:val="20"/>
          <w:szCs w:val="20"/>
        </w:rPr>
        <w:t xml:space="preserve">Lefebvre, K.A., Powell, C.L., Busman, M., Doucette, G.J., Moeller, P.D.R., Silver, J.B., Miller, P.E., Hughes, M.P., Singaram, S., Silver, M.W., Tjeerdema, R.S., 1999. Detection of domoic acid in northern anchovies and california sea lions associated with an unusual mortality event. Natural Toxins 7, 85–92. </w:t>
      </w:r>
      <w:hyperlink r:id="rId133" w:history="1">
        <w:r w:rsidRPr="009F384D">
          <w:rPr>
            <w:sz w:val="20"/>
            <w:szCs w:val="20"/>
          </w:rPr>
          <w:t>https://doi.org/10.1002/(SICI)1522-7189(199905/06)7:3&lt;85::AID-NT39&gt;3.0.CO;2-Q</w:t>
        </w:r>
      </w:hyperlink>
    </w:p>
    <w:p w14:paraId="4EB603A5" w14:textId="77777777" w:rsidR="002767EC" w:rsidRPr="009F384D" w:rsidRDefault="002767EC" w:rsidP="002767EC">
      <w:pPr>
        <w:rPr>
          <w:sz w:val="20"/>
          <w:szCs w:val="20"/>
        </w:rPr>
      </w:pPr>
      <w:r w:rsidRPr="009F384D">
        <w:rPr>
          <w:sz w:val="20"/>
          <w:szCs w:val="20"/>
        </w:rPr>
        <w:t xml:space="preserve">Lewitus, A.J., Horner, R.A., Caron, D.A., Garcia-Mendoza, E., Hickey, B.M., Hunter, M., Huppert, D.D., Kudela, R.M., Langlois, G.W., Largier, J.L., Lessard, E.J., RaLonde, R., Jack Rensel, J.E., Strutton, P.G., Trainer, V.L., Tweddle, J.F., 2012. Harmful algal blooms along the North American west coast region: History, trends, causes, and impacts. Harmful Algae 19, 133–159. </w:t>
      </w:r>
      <w:hyperlink r:id="rId134" w:history="1">
        <w:r w:rsidRPr="009F384D">
          <w:rPr>
            <w:sz w:val="20"/>
            <w:szCs w:val="20"/>
          </w:rPr>
          <w:t>https://doi.org/10.1016/j.hal.2012.06.009</w:t>
        </w:r>
      </w:hyperlink>
    </w:p>
    <w:p w14:paraId="37B6A10A" w14:textId="77777777" w:rsidR="002767EC" w:rsidRPr="009F384D" w:rsidRDefault="002767EC" w:rsidP="002767EC">
      <w:pPr>
        <w:rPr>
          <w:sz w:val="20"/>
          <w:szCs w:val="20"/>
        </w:rPr>
      </w:pPr>
      <w:r w:rsidRPr="009F384D">
        <w:rPr>
          <w:sz w:val="20"/>
          <w:szCs w:val="20"/>
        </w:rPr>
        <w:t>Likens, G.E., 1972. Eutrophication and aquatic ecosystems, in: Nutrients and Eutrophication: The Limiting-Nutrient Controversy, Limnology and Oceanography Special Symposium. pp. 3–13.</w:t>
      </w:r>
    </w:p>
    <w:p w14:paraId="744CDD23" w14:textId="77777777" w:rsidR="002767EC" w:rsidRPr="009F384D" w:rsidRDefault="002767EC" w:rsidP="002767EC">
      <w:pPr>
        <w:rPr>
          <w:sz w:val="20"/>
          <w:szCs w:val="20"/>
        </w:rPr>
      </w:pPr>
      <w:r w:rsidRPr="009F384D">
        <w:rPr>
          <w:sz w:val="20"/>
          <w:szCs w:val="20"/>
        </w:rPr>
        <w:t xml:space="preserve">Lucas, L.V., Cloern, J.E., Thompson, J.K., Stacey, M.T., Koseff, J.R., 2016. Bivalve Grazing Can Shape Phytoplankton Communities. Front. Mar. Sci. 3. </w:t>
      </w:r>
      <w:hyperlink r:id="rId135" w:history="1">
        <w:r w:rsidRPr="009F384D">
          <w:rPr>
            <w:sz w:val="20"/>
            <w:szCs w:val="20"/>
          </w:rPr>
          <w:t>https://doi.org/10.3389/fmars.2016.00014</w:t>
        </w:r>
      </w:hyperlink>
    </w:p>
    <w:p w14:paraId="43CC861E" w14:textId="77777777" w:rsidR="002767EC" w:rsidRPr="009F384D" w:rsidRDefault="002767EC" w:rsidP="002767EC">
      <w:pPr>
        <w:rPr>
          <w:sz w:val="20"/>
          <w:szCs w:val="20"/>
        </w:rPr>
      </w:pPr>
      <w:r w:rsidRPr="009F384D">
        <w:rPr>
          <w:sz w:val="20"/>
          <w:szCs w:val="20"/>
        </w:rPr>
        <w:t xml:space="preserve">Lürling, M., Roessink, I., 2006. On the way to cyanobacterial blooms: Impact of the herbicide metribuzin on the competition between a green alga (Scenedesmus) and a cyanobacterium (Microcystis). Chemosphere 65, 618–626. </w:t>
      </w:r>
      <w:hyperlink r:id="rId136" w:history="1">
        <w:r w:rsidRPr="009F384D">
          <w:rPr>
            <w:sz w:val="20"/>
            <w:szCs w:val="20"/>
          </w:rPr>
          <w:t>https://doi.org/10.1016/j.chemosphere.2006.01.073</w:t>
        </w:r>
      </w:hyperlink>
    </w:p>
    <w:p w14:paraId="18421739" w14:textId="77777777" w:rsidR="002767EC" w:rsidRPr="009F384D" w:rsidRDefault="002767EC" w:rsidP="002767EC">
      <w:pPr>
        <w:rPr>
          <w:sz w:val="20"/>
          <w:szCs w:val="20"/>
        </w:rPr>
      </w:pPr>
      <w:r w:rsidRPr="009F384D">
        <w:rPr>
          <w:sz w:val="20"/>
          <w:szCs w:val="20"/>
        </w:rPr>
        <w:t xml:space="preserve">MacIntyre, H.L., Geider, R.J., Miller, D.C., 1996. Microphytobenthos: The Ecological Role of the “Secret Garden” of Unvegetated, Shallow-Water Marine Habitats. I. Distribution, Abundance and Primary Production. Estuaries 19, 186. </w:t>
      </w:r>
      <w:hyperlink r:id="rId137" w:history="1">
        <w:r w:rsidRPr="009F384D">
          <w:rPr>
            <w:sz w:val="20"/>
            <w:szCs w:val="20"/>
          </w:rPr>
          <w:t>https://doi.org/10.2307/1352224</w:t>
        </w:r>
      </w:hyperlink>
    </w:p>
    <w:p w14:paraId="3A81B5E2" w14:textId="77777777" w:rsidR="002767EC" w:rsidRPr="009F384D" w:rsidRDefault="002767EC" w:rsidP="002767EC">
      <w:pPr>
        <w:rPr>
          <w:sz w:val="20"/>
          <w:szCs w:val="20"/>
        </w:rPr>
      </w:pPr>
      <w:r w:rsidRPr="009F384D">
        <w:rPr>
          <w:sz w:val="20"/>
          <w:szCs w:val="20"/>
        </w:rPr>
        <w:t xml:space="preserve">Magrann, T., Meredith D. A., H., Martha, S., Danilo S., B., William K., H., Stephen G., D., 2015. Screening Assessment of Cyanobacteria and Cyanotoxins in Southern California Lentic Habitats. Environmental Management and Sustainable Development 4, 91. </w:t>
      </w:r>
      <w:hyperlink r:id="rId138" w:history="1">
        <w:r w:rsidRPr="009F384D">
          <w:rPr>
            <w:sz w:val="20"/>
            <w:szCs w:val="20"/>
          </w:rPr>
          <w:t>https://doi.org/10.5296/emsd.v4i2.8036</w:t>
        </w:r>
      </w:hyperlink>
    </w:p>
    <w:p w14:paraId="1D2B6037" w14:textId="77777777" w:rsidR="002767EC" w:rsidRPr="009F384D" w:rsidRDefault="002767EC" w:rsidP="002767EC">
      <w:pPr>
        <w:rPr>
          <w:sz w:val="20"/>
          <w:szCs w:val="20"/>
        </w:rPr>
      </w:pPr>
      <w:r w:rsidRPr="009F384D">
        <w:rPr>
          <w:sz w:val="20"/>
          <w:szCs w:val="20"/>
        </w:rPr>
        <w:t xml:space="preserve">Mallin, M.A., Johnson, V.L., Ensign, S.H., MacPherson, T.A., 2006. Factors contributing to hypoxia in rivers, lakes, and streams. Limnology and Oceanography 51, 690–701. </w:t>
      </w:r>
      <w:hyperlink r:id="rId139" w:history="1">
        <w:r w:rsidRPr="009F384D">
          <w:rPr>
            <w:sz w:val="20"/>
            <w:szCs w:val="20"/>
          </w:rPr>
          <w:t>https://doi.org/10.4319/lo.2006.51.1_part_2.0690</w:t>
        </w:r>
      </w:hyperlink>
    </w:p>
    <w:p w14:paraId="2416F1E7" w14:textId="77777777" w:rsidR="002767EC" w:rsidRPr="009F384D" w:rsidRDefault="002767EC" w:rsidP="002767EC">
      <w:pPr>
        <w:rPr>
          <w:sz w:val="20"/>
          <w:szCs w:val="20"/>
        </w:rPr>
      </w:pPr>
      <w:r w:rsidRPr="009F384D">
        <w:rPr>
          <w:sz w:val="20"/>
          <w:szCs w:val="20"/>
        </w:rPr>
        <w:t>Mazor, R.D., Beck, M., Brown, J., 2018. Report on the Stormwater Monitoring Coalition Regional Stream Survey (Technical Report No. 1029). Southern California Coastal Water Research Project, Costa Mesa, CA.</w:t>
      </w:r>
    </w:p>
    <w:p w14:paraId="1F4AEF2E" w14:textId="011D6E68" w:rsidR="002767EC" w:rsidRDefault="002767EC" w:rsidP="002767EC">
      <w:pPr>
        <w:rPr>
          <w:sz w:val="20"/>
          <w:szCs w:val="20"/>
        </w:rPr>
      </w:pPr>
      <w:r w:rsidRPr="009F384D">
        <w:rPr>
          <w:sz w:val="20"/>
          <w:szCs w:val="20"/>
        </w:rPr>
        <w:t xml:space="preserve">Mazor, R.D., Rehn, A.C., Ode, P.R., Engeln, M., Schiff, K.C., Stein, E.D., Gillett, D.J., Herbst, D.B., Hawkins, C.P., 2016. Bioassessment in complex environments: designing an index for consistent meaning in different settings. Freshwater Science 35, 249–271. </w:t>
      </w:r>
      <w:hyperlink r:id="rId140" w:history="1">
        <w:r w:rsidRPr="009F384D">
          <w:rPr>
            <w:sz w:val="20"/>
            <w:szCs w:val="20"/>
          </w:rPr>
          <w:t>https://doi.org/10.1086/684130</w:t>
        </w:r>
      </w:hyperlink>
    </w:p>
    <w:p w14:paraId="6121464C" w14:textId="06436096" w:rsidR="00000776" w:rsidRPr="009F384D" w:rsidRDefault="00000776" w:rsidP="002767EC">
      <w:pPr>
        <w:rPr>
          <w:sz w:val="20"/>
          <w:szCs w:val="20"/>
        </w:rPr>
      </w:pPr>
      <w:r>
        <w:rPr>
          <w:sz w:val="20"/>
          <w:szCs w:val="20"/>
        </w:rPr>
        <w:t xml:space="preserve">Mazor, R.D., </w:t>
      </w:r>
      <w:r w:rsidR="0004114A">
        <w:rPr>
          <w:sz w:val="20"/>
          <w:szCs w:val="20"/>
        </w:rPr>
        <w:t xml:space="preserve">Sutula M., Theroux S., Beck M., and Ode. In prep. Eutrophication indicator thresholds protective of biological integrity in California wadeable streams. For submission to Freshwater Science. </w:t>
      </w:r>
    </w:p>
    <w:p w14:paraId="18C67D66" w14:textId="77777777" w:rsidR="002767EC" w:rsidRPr="009F384D" w:rsidRDefault="002767EC" w:rsidP="002767EC">
      <w:pPr>
        <w:rPr>
          <w:sz w:val="20"/>
          <w:szCs w:val="20"/>
        </w:rPr>
      </w:pPr>
      <w:r w:rsidRPr="009F384D">
        <w:rPr>
          <w:sz w:val="20"/>
          <w:szCs w:val="20"/>
        </w:rPr>
        <w:t xml:space="preserve">McCabe, R.M., Hickey, B.M., Kudela, R.M., Lefebvre, K.A., Adams, N.G., Bill, B.D., Gulland, F.M.D., Thomson, R.E., Cochlan, W.P., Trainer, V.L., 2016. An unprecedented coastwide toxic algal bloom linked to anomalous ocean conditions. Geophysical Research Letters 43, 10,366-10,376. </w:t>
      </w:r>
      <w:hyperlink r:id="rId141" w:history="1">
        <w:r w:rsidRPr="009F384D">
          <w:rPr>
            <w:sz w:val="20"/>
            <w:szCs w:val="20"/>
          </w:rPr>
          <w:t>https://doi.org/10.1002/2016GL070023</w:t>
        </w:r>
      </w:hyperlink>
    </w:p>
    <w:p w14:paraId="11C562B0" w14:textId="77777777" w:rsidR="002767EC" w:rsidRPr="009F384D" w:rsidRDefault="002767EC" w:rsidP="002767EC">
      <w:pPr>
        <w:rPr>
          <w:sz w:val="20"/>
          <w:szCs w:val="20"/>
        </w:rPr>
      </w:pPr>
      <w:r w:rsidRPr="009F384D">
        <w:rPr>
          <w:sz w:val="20"/>
          <w:szCs w:val="20"/>
        </w:rPr>
        <w:t xml:space="preserve">McGlathery, K.J., 2001. Macroalgal Blooms Contribute to the Decline of Seagrass in Nutrient-Enriched Coastal Waters. Journal of Phycology 37, 453–456. </w:t>
      </w:r>
      <w:hyperlink r:id="rId142" w:history="1">
        <w:r w:rsidRPr="009F384D">
          <w:rPr>
            <w:sz w:val="20"/>
            <w:szCs w:val="20"/>
          </w:rPr>
          <w:t>https://doi.org/10.1046/j.1529-8817.2001.037004453.x</w:t>
        </w:r>
      </w:hyperlink>
    </w:p>
    <w:p w14:paraId="0FCAF4D0" w14:textId="77777777" w:rsidR="002767EC" w:rsidRPr="009F384D" w:rsidRDefault="002767EC" w:rsidP="002767EC">
      <w:pPr>
        <w:rPr>
          <w:sz w:val="20"/>
          <w:szCs w:val="20"/>
        </w:rPr>
      </w:pPr>
      <w:r w:rsidRPr="009F384D">
        <w:rPr>
          <w:sz w:val="20"/>
          <w:szCs w:val="20"/>
        </w:rPr>
        <w:t xml:space="preserve">McLaughlin, K., Sutula, M., Busse, L., Anderson, S., Crooks, J., Dagit, R., Gibson, D., Johnston, K., Stratton, L., 2014. A Regional Survey of the Extent and Magnitude of Eutrophication in Mediterranean Estuaries of Southern California, USA. Estuaries and Coasts 37, 259–278. </w:t>
      </w:r>
      <w:hyperlink r:id="rId143" w:history="1">
        <w:r w:rsidRPr="009F384D">
          <w:rPr>
            <w:sz w:val="20"/>
            <w:szCs w:val="20"/>
          </w:rPr>
          <w:t>https://doi.org/10.1007/s12237-013-9670-8</w:t>
        </w:r>
      </w:hyperlink>
    </w:p>
    <w:p w14:paraId="781E8F8C" w14:textId="2E7555D9" w:rsidR="002767EC" w:rsidRDefault="002767EC" w:rsidP="002767EC">
      <w:pPr>
        <w:rPr>
          <w:sz w:val="20"/>
          <w:szCs w:val="20"/>
        </w:rPr>
      </w:pPr>
      <w:r w:rsidRPr="009F384D">
        <w:rPr>
          <w:sz w:val="20"/>
          <w:szCs w:val="20"/>
        </w:rPr>
        <w:t>McLaughlin, K., Sutula, M.A., Cable, J., Fong, P., 2013. Eutrophication and Nutreint Cycling in Santa Margarita River Estuary: A Summary of Baseline Studies for Monitoring Order R9-2006-0076 (Technical Report No. 635). Southern California Coastal Water Research Project, Costa Mesa, CA.</w:t>
      </w:r>
    </w:p>
    <w:p w14:paraId="4775F2B5" w14:textId="77777777" w:rsidR="002767EC" w:rsidRPr="009F384D" w:rsidRDefault="002767EC" w:rsidP="002767EC">
      <w:pPr>
        <w:rPr>
          <w:sz w:val="20"/>
          <w:szCs w:val="20"/>
        </w:rPr>
      </w:pPr>
      <w:r w:rsidRPr="009F384D">
        <w:rPr>
          <w:sz w:val="20"/>
          <w:szCs w:val="20"/>
        </w:rPr>
        <w:t>McLaughlin, K., Sutula, M.A., Cable, J., Fong, P., 2010. Eutrophication and Nutrient Cycling in Buena Vista Lagoon: A Summary of Baseline Studies for Monitoring Order R9-2006-0076 (Technical Report No. 638). Southern California Coastal Water Research Project, Costa Mesa, CA.</w:t>
      </w:r>
    </w:p>
    <w:p w14:paraId="12ECE58B" w14:textId="77777777" w:rsidR="002767EC" w:rsidRPr="009F384D" w:rsidRDefault="002767EC" w:rsidP="002767EC">
      <w:pPr>
        <w:rPr>
          <w:sz w:val="20"/>
          <w:szCs w:val="20"/>
        </w:rPr>
      </w:pPr>
      <w:r w:rsidRPr="009F384D">
        <w:rPr>
          <w:sz w:val="20"/>
          <w:szCs w:val="20"/>
        </w:rPr>
        <w:t xml:space="preserve">Meyer-Reil, L.-A., Köster, M., 2000. Eutrophication of Marine Waters: Effects on Benthic Microbial Communities. Marine Pollution Bulletin, Seas at the Millennium: an Environmental Evaluation 41, 255–263. </w:t>
      </w:r>
      <w:hyperlink r:id="rId144" w:history="1">
        <w:r w:rsidRPr="009F384D">
          <w:rPr>
            <w:sz w:val="20"/>
            <w:szCs w:val="20"/>
          </w:rPr>
          <w:t>https://doi.org/10.1016/S0025-326X(00)00114-4</w:t>
        </w:r>
      </w:hyperlink>
    </w:p>
    <w:p w14:paraId="252ECC88" w14:textId="77777777" w:rsidR="002767EC" w:rsidRPr="009F384D" w:rsidRDefault="002767EC" w:rsidP="002767EC">
      <w:pPr>
        <w:rPr>
          <w:sz w:val="20"/>
          <w:szCs w:val="20"/>
        </w:rPr>
      </w:pPr>
      <w:r w:rsidRPr="009F384D">
        <w:rPr>
          <w:sz w:val="20"/>
          <w:szCs w:val="20"/>
        </w:rPr>
        <w:t>Middelburg, J.J., Levin, L.A., 2009. Coastal hypoxia and sediment biogeochemistry 21.</w:t>
      </w:r>
    </w:p>
    <w:p w14:paraId="0F693861" w14:textId="77777777" w:rsidR="002767EC" w:rsidRPr="009F384D" w:rsidRDefault="002767EC" w:rsidP="002767EC">
      <w:pPr>
        <w:rPr>
          <w:sz w:val="20"/>
          <w:szCs w:val="20"/>
        </w:rPr>
      </w:pPr>
      <w:r w:rsidRPr="009F384D">
        <w:rPr>
          <w:sz w:val="20"/>
          <w:szCs w:val="20"/>
        </w:rPr>
        <w:t xml:space="preserve">Miller, M.A., Kudela, R.M., Mekebri, A., Crane, D., Oates, S.C., Tinker, M.T., Staedler, M., Miller, W.A., Toy-Choutka, S., Dominik, C., Hardin, D., Langlois, G., Murray, M., Ward, K., Jessup, D.A., 2010. Evidence for a Novel Marine Harmful Algal Bloom: Cyanotoxin (Microcystin) Transfer from Land to Sea Otters. PLOS ONE 5, e12576. </w:t>
      </w:r>
      <w:hyperlink r:id="rId145" w:history="1">
        <w:r w:rsidRPr="009F384D">
          <w:rPr>
            <w:sz w:val="20"/>
            <w:szCs w:val="20"/>
          </w:rPr>
          <w:t>https://doi.org/10.1371/journal.pone.0012576</w:t>
        </w:r>
      </w:hyperlink>
    </w:p>
    <w:p w14:paraId="52A492D7" w14:textId="77777777" w:rsidR="002767EC" w:rsidRPr="009F384D" w:rsidRDefault="002767EC" w:rsidP="002767EC">
      <w:pPr>
        <w:rPr>
          <w:sz w:val="20"/>
          <w:szCs w:val="20"/>
        </w:rPr>
      </w:pPr>
      <w:r w:rsidRPr="009F384D">
        <w:rPr>
          <w:sz w:val="20"/>
          <w:szCs w:val="20"/>
        </w:rPr>
        <w:t xml:space="preserve">Miltner, R.J., Rankin, A.E.T., 1998. Primary nutrients and the biotic integrity of rivers and streams. Freshwater Biology 40, 145–158. </w:t>
      </w:r>
      <w:hyperlink r:id="rId146" w:history="1">
        <w:r w:rsidRPr="009F384D">
          <w:rPr>
            <w:sz w:val="20"/>
            <w:szCs w:val="20"/>
          </w:rPr>
          <w:t>https://doi.org/10.1046/j.1365-2427.1998.00324.x</w:t>
        </w:r>
      </w:hyperlink>
    </w:p>
    <w:p w14:paraId="0EA22564" w14:textId="77777777" w:rsidR="002767EC" w:rsidRPr="009F384D" w:rsidRDefault="002767EC" w:rsidP="002767EC">
      <w:pPr>
        <w:rPr>
          <w:sz w:val="20"/>
          <w:szCs w:val="20"/>
        </w:rPr>
      </w:pPr>
      <w:r w:rsidRPr="009F384D">
        <w:rPr>
          <w:sz w:val="20"/>
          <w:szCs w:val="20"/>
        </w:rPr>
        <w:t xml:space="preserve">Moisander, P.H., Ochiai, M., Lincoff, A., 2009. Nutrient limitation of Microcystis aeruginosa in northern California Klamath River reservoirs. Harmful Algae 8, 889–897. </w:t>
      </w:r>
      <w:hyperlink r:id="rId147" w:history="1">
        <w:r w:rsidRPr="009F384D">
          <w:rPr>
            <w:sz w:val="20"/>
            <w:szCs w:val="20"/>
          </w:rPr>
          <w:t>https://doi.org/10.1016/j.hal.2009.04.005</w:t>
        </w:r>
      </w:hyperlink>
    </w:p>
    <w:p w14:paraId="7D81144A" w14:textId="77777777" w:rsidR="002767EC" w:rsidRPr="009F384D" w:rsidRDefault="002767EC" w:rsidP="002767EC">
      <w:pPr>
        <w:rPr>
          <w:sz w:val="20"/>
          <w:szCs w:val="20"/>
        </w:rPr>
      </w:pPr>
      <w:r w:rsidRPr="009F384D">
        <w:rPr>
          <w:sz w:val="20"/>
          <w:szCs w:val="20"/>
        </w:rPr>
        <w:t xml:space="preserve">Nixon, S.W., 1995. Coastal marine eutrophication: A definition, social causes, and future concerns. Ophelia 41, 199–219. </w:t>
      </w:r>
      <w:hyperlink r:id="rId148" w:history="1">
        <w:r w:rsidRPr="009F384D">
          <w:rPr>
            <w:sz w:val="20"/>
            <w:szCs w:val="20"/>
          </w:rPr>
          <w:t>https://doi.org/10.1080/00785236.1995.10422044</w:t>
        </w:r>
      </w:hyperlink>
    </w:p>
    <w:p w14:paraId="5BF4461B" w14:textId="77777777" w:rsidR="002767EC" w:rsidRPr="009F384D" w:rsidRDefault="002767EC" w:rsidP="002767EC">
      <w:pPr>
        <w:rPr>
          <w:sz w:val="20"/>
          <w:szCs w:val="20"/>
        </w:rPr>
      </w:pPr>
      <w:r w:rsidRPr="009F384D">
        <w:rPr>
          <w:sz w:val="20"/>
          <w:szCs w:val="20"/>
        </w:rPr>
        <w:t>Nixon, S.W., 1986. Nutrient dynamics and the productivity of marine coastal waters, in: Marine Environment and Pollution. The Alden Press, Oxford, UK, pp. 97–115.</w:t>
      </w:r>
    </w:p>
    <w:p w14:paraId="453250F3" w14:textId="77777777" w:rsidR="002767EC" w:rsidRPr="009F384D" w:rsidRDefault="002767EC" w:rsidP="002767EC">
      <w:pPr>
        <w:rPr>
          <w:sz w:val="20"/>
          <w:szCs w:val="20"/>
        </w:rPr>
      </w:pPr>
      <w:r w:rsidRPr="009F384D">
        <w:rPr>
          <w:sz w:val="20"/>
          <w:szCs w:val="20"/>
        </w:rPr>
        <w:t>North Coast Regional Water Quality Control Board, 2010. Klamath river total maximum daily loads (TMDLs) addressing temperature, dissolved oxygen, nutrient, and microcystin impairments in California the proposed site specific dissolved oxygen objectives for the Klamath River in California, and the Klamath River and Lost River implementation plans (Final Staff Report). Santa Rosa, CA.</w:t>
      </w:r>
    </w:p>
    <w:p w14:paraId="36585DA2" w14:textId="77777777" w:rsidR="002767EC" w:rsidRPr="009F384D" w:rsidRDefault="002767EC" w:rsidP="002767EC">
      <w:pPr>
        <w:rPr>
          <w:sz w:val="20"/>
          <w:szCs w:val="20"/>
        </w:rPr>
      </w:pPr>
      <w:r w:rsidRPr="009F384D">
        <w:rPr>
          <w:sz w:val="20"/>
          <w:szCs w:val="20"/>
        </w:rPr>
        <w:t xml:space="preserve">Norton, S.B., Cormier, S.M., Suter, G.W., Schofield, K., Yuan, L., Shaw-Allen, P., Ziegler, C.R., 2009. CADDIS: The Causal Analysis/Diagnosis Decision Information System, in: Marcomini, A., Suter II, G.W., Critto, A. (Eds.), Decision Support Systems for Risk-Based Management of Contaminated Sites. Springer US, Boston, MA, pp. 1–24. </w:t>
      </w:r>
      <w:hyperlink r:id="rId149" w:history="1">
        <w:r w:rsidRPr="009F384D">
          <w:rPr>
            <w:sz w:val="20"/>
            <w:szCs w:val="20"/>
          </w:rPr>
          <w:t>https://doi.org/10.1007/978-0-387-09722-0_17</w:t>
        </w:r>
      </w:hyperlink>
    </w:p>
    <w:p w14:paraId="770CE425" w14:textId="2CBF5A42" w:rsidR="002767EC" w:rsidRDefault="002767EC" w:rsidP="002767EC">
      <w:pPr>
        <w:rPr>
          <w:sz w:val="20"/>
          <w:szCs w:val="20"/>
        </w:rPr>
      </w:pPr>
      <w:r w:rsidRPr="009F384D">
        <w:rPr>
          <w:sz w:val="20"/>
          <w:szCs w:val="20"/>
        </w:rPr>
        <w:t>OSPAR Commission, 2003. OSPAR integrated report 2003 on the eutrophication status of the OSPAR maritime area based upon the first application of the comprehensive procedure. OSPAR Commission.</w:t>
      </w:r>
    </w:p>
    <w:p w14:paraId="43F66015" w14:textId="080DFB17" w:rsidR="00556F41" w:rsidRDefault="00556F41" w:rsidP="002767EC">
      <w:pPr>
        <w:rPr>
          <w:sz w:val="20"/>
          <w:szCs w:val="20"/>
        </w:rPr>
      </w:pPr>
      <w:r w:rsidRPr="00556F41">
        <w:rPr>
          <w:sz w:val="20"/>
          <w:szCs w:val="20"/>
        </w:rPr>
        <w:t>Paul M.J., Jessup B., Brown L., Carter C, Cantonati M., Charles D.F., Gerritsen J., Herbst D., Howard J., Isham B., Lowe R., Mazor R., Mendez P., O’Dowd A., Olson J., Pan Y., Rehn A., Spaulding S., Sutula M., Stancheva Hristova R., and Theroux S. In Prep. Development of benthic macroinvertebrate and algal biological condition model for California streams. For submission for Freshwater Science.</w:t>
      </w:r>
    </w:p>
    <w:p w14:paraId="4499468B" w14:textId="77777777" w:rsidR="002767EC" w:rsidRPr="009F384D" w:rsidRDefault="002767EC" w:rsidP="002767EC">
      <w:pPr>
        <w:rPr>
          <w:sz w:val="20"/>
          <w:szCs w:val="20"/>
        </w:rPr>
      </w:pPr>
      <w:r w:rsidRPr="009F384D">
        <w:rPr>
          <w:sz w:val="20"/>
          <w:szCs w:val="20"/>
        </w:rPr>
        <w:t xml:space="preserve">Paerl, H.W., Hall, N.S., Calandrino, E.S., 2011. Controlling harmful cyanobacterial blooms in a world experiencing anthropogenic and climatic-induced change. Science of The Total Environment 409, 1739–1745. </w:t>
      </w:r>
      <w:hyperlink r:id="rId150" w:history="1">
        <w:r w:rsidRPr="009F384D">
          <w:rPr>
            <w:sz w:val="20"/>
            <w:szCs w:val="20"/>
          </w:rPr>
          <w:t>https://doi.org/10.1016/j.scitotenv.2011.02.001</w:t>
        </w:r>
      </w:hyperlink>
    </w:p>
    <w:p w14:paraId="473419F0" w14:textId="77777777" w:rsidR="002767EC" w:rsidRPr="009F384D" w:rsidRDefault="002767EC" w:rsidP="002767EC">
      <w:pPr>
        <w:rPr>
          <w:sz w:val="20"/>
          <w:szCs w:val="20"/>
        </w:rPr>
      </w:pPr>
      <w:r w:rsidRPr="009F384D">
        <w:rPr>
          <w:sz w:val="20"/>
          <w:szCs w:val="20"/>
        </w:rPr>
        <w:t xml:space="preserve">Paerl, H.W., Hall, N.S., Peierls, B.L., Rossignol, K.L., 2014. Evolving Paradigms and Challenges in Estuarine and Coastal Eutrophication Dynamics in a Culturally and Climatically Stressed World. Estuaries and Coasts 37, 243–258. </w:t>
      </w:r>
      <w:hyperlink r:id="rId151" w:history="1">
        <w:r w:rsidRPr="009F384D">
          <w:rPr>
            <w:sz w:val="20"/>
            <w:szCs w:val="20"/>
          </w:rPr>
          <w:t>https://doi.org/10.1007/s12237-014-9773-x</w:t>
        </w:r>
      </w:hyperlink>
    </w:p>
    <w:p w14:paraId="34D3E50E" w14:textId="77777777" w:rsidR="002767EC" w:rsidRPr="009F384D" w:rsidRDefault="002767EC" w:rsidP="002767EC">
      <w:pPr>
        <w:rPr>
          <w:sz w:val="20"/>
          <w:szCs w:val="20"/>
        </w:rPr>
      </w:pPr>
      <w:r w:rsidRPr="009F384D">
        <w:rPr>
          <w:sz w:val="20"/>
          <w:szCs w:val="20"/>
        </w:rPr>
        <w:t>Paerl, H.W., Huisman, J., 2008. Blooms like It Hot. Science 320, 57–58.</w:t>
      </w:r>
    </w:p>
    <w:p w14:paraId="40070DE5" w14:textId="77777777" w:rsidR="002767EC" w:rsidRPr="009F384D" w:rsidRDefault="002767EC" w:rsidP="002767EC">
      <w:pPr>
        <w:rPr>
          <w:sz w:val="20"/>
          <w:szCs w:val="20"/>
        </w:rPr>
      </w:pPr>
      <w:r w:rsidRPr="009F384D">
        <w:rPr>
          <w:sz w:val="20"/>
          <w:szCs w:val="20"/>
        </w:rPr>
        <w:t xml:space="preserve">Paerl, H.W., Paul, V.J., 2012. Climate change: Links to global expansion of harmful cyanobacteria. Water Research 46, 1349–1363. </w:t>
      </w:r>
      <w:hyperlink r:id="rId152" w:history="1">
        <w:r w:rsidRPr="009F384D">
          <w:rPr>
            <w:sz w:val="20"/>
            <w:szCs w:val="20"/>
          </w:rPr>
          <w:t>https://doi.org/10.1016/j.watres.2011.08.002</w:t>
        </w:r>
      </w:hyperlink>
    </w:p>
    <w:p w14:paraId="69ACF2CA" w14:textId="77777777" w:rsidR="002767EC" w:rsidRPr="009F384D" w:rsidRDefault="002767EC" w:rsidP="002767EC">
      <w:pPr>
        <w:rPr>
          <w:sz w:val="20"/>
          <w:szCs w:val="20"/>
        </w:rPr>
      </w:pPr>
      <w:r w:rsidRPr="009F384D">
        <w:rPr>
          <w:sz w:val="20"/>
          <w:szCs w:val="20"/>
        </w:rPr>
        <w:t xml:space="preserve">Pan, Y., Parsons, M.L., Busman, M., Moeller, P.D.R., Dortch, Q., Powell, C.L., Doucette, G.J., 2001. Pseudo-nitzschia sp. cf. pseudodelicatissima </w:t>
      </w:r>
      <w:r w:rsidRPr="009F384D">
        <w:rPr>
          <w:rFonts w:cs="Calibri"/>
          <w:sz w:val="20"/>
          <w:szCs w:val="20"/>
        </w:rPr>
        <w:t>‹</w:t>
      </w:r>
      <w:r w:rsidRPr="009F384D">
        <w:rPr>
          <w:sz w:val="20"/>
          <w:szCs w:val="20"/>
        </w:rPr>
        <w:t xml:space="preserve"> a confirmed producer of domoic acid from the northern Gulf of Mexico. Marine Ecology Progress Series 220, 83–92. </w:t>
      </w:r>
      <w:hyperlink r:id="rId153" w:history="1">
        <w:r w:rsidRPr="009F384D">
          <w:rPr>
            <w:sz w:val="20"/>
            <w:szCs w:val="20"/>
          </w:rPr>
          <w:t>https://doi.org/10.3354/meps220083</w:t>
        </w:r>
      </w:hyperlink>
    </w:p>
    <w:p w14:paraId="2AEB1F1A" w14:textId="77777777" w:rsidR="002767EC" w:rsidRPr="009F384D" w:rsidRDefault="002767EC" w:rsidP="002767EC">
      <w:pPr>
        <w:rPr>
          <w:sz w:val="20"/>
          <w:szCs w:val="20"/>
        </w:rPr>
      </w:pPr>
      <w:r w:rsidRPr="009F384D">
        <w:rPr>
          <w:sz w:val="20"/>
          <w:szCs w:val="20"/>
        </w:rPr>
        <w:t xml:space="preserve">Pan, Youlian, Rao, D.V.S., Mann, K.H., 1996. Changes in Domoic Acid Production and Cellular Chemical Composition of the Toxigenic Diatom Pseudo-Nitzschia Multiseries Under Phosphate Limitation1. Journal of Phycology 32, 371–381. </w:t>
      </w:r>
      <w:hyperlink r:id="rId154" w:history="1">
        <w:r w:rsidRPr="009F384D">
          <w:rPr>
            <w:sz w:val="20"/>
            <w:szCs w:val="20"/>
          </w:rPr>
          <w:t>https://doi.org/10.1111/j.0022-3646.1996.00371.x</w:t>
        </w:r>
      </w:hyperlink>
    </w:p>
    <w:p w14:paraId="1914FB9E" w14:textId="77777777" w:rsidR="002767EC" w:rsidRPr="009F384D" w:rsidRDefault="002767EC" w:rsidP="002767EC">
      <w:pPr>
        <w:rPr>
          <w:sz w:val="20"/>
          <w:szCs w:val="20"/>
        </w:rPr>
      </w:pPr>
      <w:r w:rsidRPr="009F384D">
        <w:rPr>
          <w:sz w:val="20"/>
          <w:szCs w:val="20"/>
        </w:rPr>
        <w:t xml:space="preserve">Pan, Y., Stevenson, R.J., Hill, B.H., Herlihy, A.T., Collins, G.B., 1996. Using Diatoms as Indicators of Ecological Conditions in Lotic Systems: A Regional Assessment. Journal of the North American Benthological Society 15, 481–495. </w:t>
      </w:r>
      <w:hyperlink r:id="rId155" w:history="1">
        <w:r w:rsidRPr="009F384D">
          <w:rPr>
            <w:sz w:val="20"/>
            <w:szCs w:val="20"/>
          </w:rPr>
          <w:t>https://doi.org/10.2307/1467800</w:t>
        </w:r>
      </w:hyperlink>
    </w:p>
    <w:p w14:paraId="5505A7B3" w14:textId="77777777" w:rsidR="002767EC" w:rsidRPr="009F384D" w:rsidRDefault="002767EC" w:rsidP="002767EC">
      <w:pPr>
        <w:rPr>
          <w:sz w:val="20"/>
          <w:szCs w:val="20"/>
        </w:rPr>
      </w:pPr>
      <w:r w:rsidRPr="009F384D">
        <w:rPr>
          <w:sz w:val="20"/>
          <w:szCs w:val="20"/>
        </w:rPr>
        <w:t xml:space="preserve">Pan, Y., Stevenson, R.J., Vaithiyanathan, P., Slate, J., Richardson, C.J., 2000. Changes in algal assemblages along observed and experimental phosphorus gradients in a subtropical wetland, U.S.A. Freshwater Biology 44, 339–353. </w:t>
      </w:r>
      <w:hyperlink r:id="rId156" w:history="1">
        <w:r w:rsidRPr="009F384D">
          <w:rPr>
            <w:sz w:val="20"/>
            <w:szCs w:val="20"/>
          </w:rPr>
          <w:t>https://doi.org/10.1046/j.1365-2427.2000.00556.x</w:t>
        </w:r>
      </w:hyperlink>
    </w:p>
    <w:p w14:paraId="54FF6CEC" w14:textId="77777777" w:rsidR="002767EC" w:rsidRPr="009F384D" w:rsidRDefault="002767EC" w:rsidP="002767EC">
      <w:pPr>
        <w:rPr>
          <w:sz w:val="20"/>
          <w:szCs w:val="20"/>
        </w:rPr>
      </w:pPr>
      <w:r w:rsidRPr="009F384D">
        <w:rPr>
          <w:sz w:val="20"/>
          <w:szCs w:val="20"/>
        </w:rPr>
        <w:t xml:space="preserve">Pan, Y., Subba Rao, D., Mann, K., Brown, R., Pocklington, R., 1996. Effects of silicate limitation on production of domoic acid, a neurotoxin, by the diatom Pseudo-nitzschia multiseries. I. Batch culture studies. Marine Ecology Progress Series 131, 225–233. </w:t>
      </w:r>
      <w:hyperlink r:id="rId157" w:history="1">
        <w:r w:rsidRPr="009F384D">
          <w:rPr>
            <w:sz w:val="20"/>
            <w:szCs w:val="20"/>
          </w:rPr>
          <w:t>https://doi.org/10.3354/meps131225</w:t>
        </w:r>
      </w:hyperlink>
    </w:p>
    <w:p w14:paraId="66026CFA" w14:textId="77777777" w:rsidR="002767EC" w:rsidRPr="009F384D" w:rsidRDefault="002767EC" w:rsidP="002767EC">
      <w:pPr>
        <w:rPr>
          <w:sz w:val="20"/>
          <w:szCs w:val="20"/>
        </w:rPr>
      </w:pPr>
      <w:r w:rsidRPr="009F384D">
        <w:rPr>
          <w:sz w:val="20"/>
          <w:szCs w:val="20"/>
        </w:rPr>
        <w:t xml:space="preserve">Peacock, M.B., Gibble, C.M., Senn, D.B., Cloern, J.E., Kudela, R.M., 2018. Blurred lines: Multiple freshwater and marine algal toxins at the land-sea interface of San Francisco Bay, California. Harmful Algae 73, 138–147. </w:t>
      </w:r>
      <w:hyperlink r:id="rId158" w:history="1">
        <w:r w:rsidRPr="009F384D">
          <w:rPr>
            <w:sz w:val="20"/>
            <w:szCs w:val="20"/>
          </w:rPr>
          <w:t>https://doi.org/10.1016/j.hal.2018.02.005</w:t>
        </w:r>
      </w:hyperlink>
    </w:p>
    <w:p w14:paraId="061BAB75" w14:textId="77777777" w:rsidR="002767EC" w:rsidRPr="009F384D" w:rsidRDefault="002767EC" w:rsidP="002767EC">
      <w:pPr>
        <w:rPr>
          <w:sz w:val="20"/>
          <w:szCs w:val="20"/>
        </w:rPr>
      </w:pPr>
      <w:r w:rsidRPr="009F384D">
        <w:rPr>
          <w:sz w:val="20"/>
          <w:szCs w:val="20"/>
        </w:rPr>
        <w:t>Pearson, T.H., Rosenberg, R., 1978. Macrobenthic Succession in Relation to Organic Enrichment and Pollution of the Marine Environment. Oceanography and Marine Biology - Annual Review 16, 229–311.</w:t>
      </w:r>
    </w:p>
    <w:p w14:paraId="6E8D6BE9" w14:textId="77777777" w:rsidR="002767EC" w:rsidRPr="009F384D" w:rsidRDefault="002767EC" w:rsidP="002767EC">
      <w:pPr>
        <w:rPr>
          <w:sz w:val="20"/>
          <w:szCs w:val="20"/>
        </w:rPr>
      </w:pPr>
      <w:r w:rsidRPr="009F384D">
        <w:rPr>
          <w:sz w:val="20"/>
          <w:szCs w:val="20"/>
        </w:rPr>
        <w:t xml:space="preserve">Peterson, H.G., Boutin, C., Freemark, K.E., Martin, P.A., 1997. Toxicity of hexazinone and diquat to green algae, diatoms, cyanobacteria and duckweed. Aquatic Toxicology 39, 111–134. </w:t>
      </w:r>
      <w:hyperlink r:id="rId159" w:history="1">
        <w:r w:rsidRPr="009F384D">
          <w:rPr>
            <w:sz w:val="20"/>
            <w:szCs w:val="20"/>
          </w:rPr>
          <w:t>https://doi.org/10.1016/S0166-445X(97)00022-2</w:t>
        </w:r>
      </w:hyperlink>
    </w:p>
    <w:p w14:paraId="4271C3A1" w14:textId="77777777" w:rsidR="002767EC" w:rsidRPr="009F384D" w:rsidRDefault="002767EC" w:rsidP="002767EC">
      <w:pPr>
        <w:rPr>
          <w:sz w:val="20"/>
          <w:szCs w:val="20"/>
        </w:rPr>
      </w:pPr>
      <w:r w:rsidRPr="009F384D">
        <w:rPr>
          <w:sz w:val="20"/>
          <w:szCs w:val="20"/>
        </w:rPr>
        <w:t xml:space="preserve">Plummer, J.D., Edzwald, J.K., 2001. Effect of Ozone on Algae as Precursors for Trihalomethane and Haloacetic Acid Production. Environmental Science &amp; Technology 35, 3661–3668. </w:t>
      </w:r>
      <w:hyperlink r:id="rId160" w:history="1">
        <w:r w:rsidRPr="009F384D">
          <w:rPr>
            <w:sz w:val="20"/>
            <w:szCs w:val="20"/>
          </w:rPr>
          <w:t>https://doi.org/10.1021/es0106570</w:t>
        </w:r>
      </w:hyperlink>
    </w:p>
    <w:p w14:paraId="216AC63D" w14:textId="77777777" w:rsidR="002767EC" w:rsidRPr="009F384D" w:rsidRDefault="002767EC" w:rsidP="002767EC">
      <w:pPr>
        <w:rPr>
          <w:sz w:val="20"/>
          <w:szCs w:val="20"/>
        </w:rPr>
      </w:pPr>
      <w:r w:rsidRPr="009F384D">
        <w:rPr>
          <w:sz w:val="20"/>
          <w:szCs w:val="20"/>
        </w:rPr>
        <w:t>Rabalais, N.N., Harper Jr., D.E., 1992. Studies of benthic biota in areas affected by moderate and severe hypoxia (Proceedings). Workshop on Nutrient Enhanced Coastal Ocean Program Office, Louisiana.</w:t>
      </w:r>
    </w:p>
    <w:p w14:paraId="1843E855" w14:textId="77777777" w:rsidR="002767EC" w:rsidRPr="009F384D" w:rsidRDefault="002767EC" w:rsidP="002767EC">
      <w:pPr>
        <w:rPr>
          <w:sz w:val="20"/>
          <w:szCs w:val="20"/>
        </w:rPr>
      </w:pPr>
      <w:r w:rsidRPr="009F384D">
        <w:rPr>
          <w:sz w:val="20"/>
          <w:szCs w:val="20"/>
        </w:rPr>
        <w:t xml:space="preserve">Ranasinghe, J.A., Welch, K.I., Slattery, P.N., Montagne, D.E., Huff, D.D., Ii, H.L., Hyland, J.L., Thompson, B., Weisberg, S.B., Oakden, J.M., Cadien, D.B., Velarde, R.G., 2012. Habitat-related benthic macrofaunal assemblages of bays and estuaries of the western United States. Integrated Environmental Assessment and Management 8, 638–648. </w:t>
      </w:r>
      <w:hyperlink r:id="rId161" w:history="1">
        <w:r w:rsidRPr="009F384D">
          <w:rPr>
            <w:sz w:val="20"/>
            <w:szCs w:val="20"/>
          </w:rPr>
          <w:t>https://doi.org/10.1002/ieam.62</w:t>
        </w:r>
      </w:hyperlink>
    </w:p>
    <w:p w14:paraId="0034B403" w14:textId="77777777" w:rsidR="002767EC" w:rsidRPr="009F384D" w:rsidRDefault="002767EC" w:rsidP="002767EC">
      <w:pPr>
        <w:rPr>
          <w:sz w:val="20"/>
          <w:szCs w:val="20"/>
        </w:rPr>
      </w:pPr>
      <w:r w:rsidRPr="009F384D">
        <w:rPr>
          <w:sz w:val="20"/>
          <w:szCs w:val="20"/>
        </w:rPr>
        <w:t>Reisner, M., 1993. Cadillac Desert: The American West and Its Disappearing Water. Penguin.</w:t>
      </w:r>
    </w:p>
    <w:p w14:paraId="00EA943C" w14:textId="77777777" w:rsidR="002767EC" w:rsidRPr="009F384D" w:rsidRDefault="002767EC" w:rsidP="002767EC">
      <w:pPr>
        <w:rPr>
          <w:sz w:val="20"/>
          <w:szCs w:val="20"/>
        </w:rPr>
      </w:pPr>
      <w:r w:rsidRPr="009F384D">
        <w:rPr>
          <w:sz w:val="20"/>
          <w:szCs w:val="20"/>
        </w:rPr>
        <w:t>Reynolds, C.S., 2006. The Ecology of Phytoplankton. Cambridge University Press.</w:t>
      </w:r>
    </w:p>
    <w:p w14:paraId="42457DAB" w14:textId="77777777" w:rsidR="002767EC" w:rsidRPr="009F384D" w:rsidRDefault="002767EC" w:rsidP="002767EC">
      <w:pPr>
        <w:rPr>
          <w:sz w:val="20"/>
          <w:szCs w:val="20"/>
        </w:rPr>
      </w:pPr>
      <w:r w:rsidRPr="009F384D">
        <w:rPr>
          <w:sz w:val="20"/>
          <w:szCs w:val="20"/>
        </w:rPr>
        <w:t xml:space="preserve">Robarts, R.D., Zohary, T., 1987. Temperature effects on photosynthetic capacity, respiration, and growth rates of bloom‐forming cyanobacteria. New Zealand Journal of Marine and Freshwater Research 21, 391–399. </w:t>
      </w:r>
      <w:hyperlink r:id="rId162" w:history="1">
        <w:r w:rsidRPr="009F384D">
          <w:rPr>
            <w:sz w:val="20"/>
            <w:szCs w:val="20"/>
          </w:rPr>
          <w:t>https://doi.org/10.1080/00288330.1987.9516235</w:t>
        </w:r>
      </w:hyperlink>
    </w:p>
    <w:p w14:paraId="7EF2CFFD" w14:textId="77777777" w:rsidR="002767EC" w:rsidRPr="009F384D" w:rsidRDefault="002767EC" w:rsidP="002767EC">
      <w:pPr>
        <w:rPr>
          <w:sz w:val="20"/>
          <w:szCs w:val="20"/>
        </w:rPr>
      </w:pPr>
      <w:r w:rsidRPr="009F384D">
        <w:rPr>
          <w:sz w:val="20"/>
          <w:szCs w:val="20"/>
        </w:rPr>
        <w:t>Ryther, J.H., Dunstan, W.M., 1971. Nitrogen, Phosphorus, and Eutrophication in the Coastal Marine Environment. Science 171, 1008–1013.</w:t>
      </w:r>
    </w:p>
    <w:p w14:paraId="44220B48" w14:textId="77777777" w:rsidR="002767EC" w:rsidRPr="009F384D" w:rsidRDefault="002767EC" w:rsidP="002767EC">
      <w:pPr>
        <w:rPr>
          <w:sz w:val="20"/>
          <w:szCs w:val="20"/>
        </w:rPr>
      </w:pPr>
      <w:r w:rsidRPr="009F384D">
        <w:rPr>
          <w:sz w:val="20"/>
          <w:szCs w:val="20"/>
        </w:rPr>
        <w:t xml:space="preserve">Saleh, D., Domagalski, J., 2015. SPARROW Modeling of Nitrogen Sources and Transport in Rivers and Streams of California and Adjacent States, U.S. JAWRA Journal of the American Water Resources Association 51, 1487–1507. </w:t>
      </w:r>
      <w:hyperlink r:id="rId163" w:history="1">
        <w:r w:rsidRPr="009F384D">
          <w:rPr>
            <w:sz w:val="20"/>
            <w:szCs w:val="20"/>
          </w:rPr>
          <w:t>https://doi.org/10.1111/1752-1688.12325</w:t>
        </w:r>
      </w:hyperlink>
    </w:p>
    <w:p w14:paraId="6917920F" w14:textId="77777777" w:rsidR="002767EC" w:rsidRPr="009F384D" w:rsidRDefault="002767EC" w:rsidP="002767EC">
      <w:pPr>
        <w:rPr>
          <w:sz w:val="20"/>
          <w:szCs w:val="20"/>
        </w:rPr>
      </w:pPr>
      <w:r w:rsidRPr="009F384D">
        <w:rPr>
          <w:sz w:val="20"/>
          <w:szCs w:val="20"/>
        </w:rPr>
        <w:t>Schindler, D.W., 1977. Evolution of Phosphorus Limitation in Lakes. Science 195, 260–262.</w:t>
      </w:r>
    </w:p>
    <w:p w14:paraId="484B3F89" w14:textId="77777777" w:rsidR="002767EC" w:rsidRPr="009F384D" w:rsidRDefault="002767EC" w:rsidP="002767EC">
      <w:pPr>
        <w:rPr>
          <w:sz w:val="20"/>
          <w:szCs w:val="20"/>
        </w:rPr>
      </w:pPr>
      <w:r w:rsidRPr="009F384D">
        <w:rPr>
          <w:sz w:val="20"/>
          <w:szCs w:val="20"/>
        </w:rPr>
        <w:t xml:space="preserve">Schindler, D.W., Hecky, R.E., Findlay, D.L., Stainton, M.P., Parker, B.R., Paterson, M.J., Beaty, K.G., Lyng, M., Kasian, S.E.M., 2008. Eutrophication of lakes cannot be controlled by reducing nitrogen input: Results of a 37-year whole-ecosystem experiment. PNAS 105, 11254–11258. </w:t>
      </w:r>
      <w:hyperlink r:id="rId164" w:history="1">
        <w:r w:rsidRPr="009F384D">
          <w:rPr>
            <w:sz w:val="20"/>
            <w:szCs w:val="20"/>
          </w:rPr>
          <w:t>https://doi.org/10.1073/pnas.0805108105</w:t>
        </w:r>
      </w:hyperlink>
    </w:p>
    <w:p w14:paraId="09D14ECD" w14:textId="74E3C902" w:rsidR="002767EC" w:rsidRDefault="002767EC" w:rsidP="002767EC">
      <w:pPr>
        <w:rPr>
          <w:sz w:val="20"/>
          <w:szCs w:val="20"/>
        </w:rPr>
      </w:pPr>
      <w:r w:rsidRPr="009F384D">
        <w:rPr>
          <w:sz w:val="20"/>
          <w:szCs w:val="20"/>
        </w:rPr>
        <w:t xml:space="preserve">Scholin, C.A., Gulland, F., Doucette, G.J., Benson, S., Busman, M., Chavez, F.P., Cordaro, J., DeLong, R., Vogelaere, A.D., Harvey, J., Haulena, M., Lefebvre, K., Lipscomb, T., Loscutoff, S., Lowenstine, L.J., Iii, R.M., Miller, P.E., McLellan, W.A., Moeller, P.D.R., Powell, C.L., Rowles, T., Silvagni, P., Silver, M., Spraker, T., Trainer, V., Dolah, F.M.V., 2000. Mortality of sea lions along the central California coast linked to a toxic diatom bloom. Nature 403, 80–84. </w:t>
      </w:r>
      <w:hyperlink r:id="rId165" w:history="1">
        <w:r w:rsidRPr="009F384D">
          <w:rPr>
            <w:sz w:val="20"/>
            <w:szCs w:val="20"/>
          </w:rPr>
          <w:t>https://doi.org/10.1038/47481</w:t>
        </w:r>
      </w:hyperlink>
    </w:p>
    <w:p w14:paraId="61A33DC5" w14:textId="2A5F5B8C" w:rsidR="00000776" w:rsidRPr="009F384D" w:rsidRDefault="00000776" w:rsidP="002767EC">
      <w:pPr>
        <w:rPr>
          <w:sz w:val="20"/>
          <w:szCs w:val="20"/>
        </w:rPr>
      </w:pPr>
      <w:r>
        <w:rPr>
          <w:sz w:val="20"/>
          <w:szCs w:val="20"/>
        </w:rPr>
        <w:t>Senn, D., 2013.</w:t>
      </w:r>
    </w:p>
    <w:p w14:paraId="3DC8D4C1" w14:textId="77777777" w:rsidR="002767EC" w:rsidRPr="009F384D" w:rsidRDefault="002767EC" w:rsidP="002767EC">
      <w:pPr>
        <w:rPr>
          <w:sz w:val="20"/>
          <w:szCs w:val="20"/>
        </w:rPr>
      </w:pPr>
      <w:r w:rsidRPr="009F384D">
        <w:rPr>
          <w:sz w:val="20"/>
          <w:szCs w:val="20"/>
        </w:rPr>
        <w:t xml:space="preserve">Smith, A.J., 1983. Modes of cyanobacterial carbon metabolism. Annales de l’Institut Pasteur / Microbiologie 134, 93–113. </w:t>
      </w:r>
      <w:hyperlink r:id="rId166" w:history="1">
        <w:r w:rsidRPr="009F384D">
          <w:rPr>
            <w:sz w:val="20"/>
            <w:szCs w:val="20"/>
          </w:rPr>
          <w:t>https://doi.org/10.1016/S0769-2609(83)80099-4</w:t>
        </w:r>
      </w:hyperlink>
    </w:p>
    <w:p w14:paraId="5C96D87D" w14:textId="77777777" w:rsidR="002767EC" w:rsidRPr="009F384D" w:rsidRDefault="002767EC" w:rsidP="002767EC">
      <w:pPr>
        <w:rPr>
          <w:sz w:val="20"/>
          <w:szCs w:val="20"/>
        </w:rPr>
      </w:pPr>
      <w:r w:rsidRPr="009F384D">
        <w:rPr>
          <w:sz w:val="20"/>
          <w:szCs w:val="20"/>
        </w:rPr>
        <w:t xml:space="preserve">Smith, R.A., Alexander, R.B., Wolman, M.G., 1987. Water-Quality Trends in the Nation’s Rivers. Science 235, 1607–1615. </w:t>
      </w:r>
      <w:hyperlink r:id="rId167" w:history="1">
        <w:r w:rsidRPr="009F384D">
          <w:rPr>
            <w:sz w:val="20"/>
            <w:szCs w:val="20"/>
          </w:rPr>
          <w:t>https://doi.org/10.1126/science.235.4796.1607</w:t>
        </w:r>
      </w:hyperlink>
    </w:p>
    <w:p w14:paraId="21FC0E3A" w14:textId="77777777" w:rsidR="002767EC" w:rsidRPr="009F384D" w:rsidRDefault="002767EC" w:rsidP="002767EC">
      <w:pPr>
        <w:rPr>
          <w:sz w:val="20"/>
          <w:szCs w:val="20"/>
        </w:rPr>
      </w:pPr>
      <w:r w:rsidRPr="009F384D">
        <w:rPr>
          <w:sz w:val="20"/>
          <w:szCs w:val="20"/>
        </w:rPr>
        <w:t xml:space="preserve">Smith, V.H., 1983. Low Nitrogen to Phosphorus Ratios Favor Dominance by Blue-Green Algae in Lake Phytoplankton. Science 221, 669–671. </w:t>
      </w:r>
      <w:hyperlink r:id="rId168" w:history="1">
        <w:r w:rsidRPr="009F384D">
          <w:rPr>
            <w:sz w:val="20"/>
            <w:szCs w:val="20"/>
          </w:rPr>
          <w:t>https://doi.org/10.1126/science.221.4611.669</w:t>
        </w:r>
      </w:hyperlink>
    </w:p>
    <w:p w14:paraId="5DBA803D" w14:textId="77777777" w:rsidR="002767EC" w:rsidRPr="009F384D" w:rsidRDefault="002767EC" w:rsidP="002767EC">
      <w:pPr>
        <w:rPr>
          <w:sz w:val="20"/>
          <w:szCs w:val="20"/>
        </w:rPr>
      </w:pPr>
      <w:r w:rsidRPr="009F384D">
        <w:rPr>
          <w:sz w:val="20"/>
          <w:szCs w:val="20"/>
        </w:rPr>
        <w:t xml:space="preserve">Stanley, D.W., Nixon, S.W., 1992. Stratification and bottom-water hypoxia in the Pamlico River estuary. Estuaries 15, 270–281. </w:t>
      </w:r>
      <w:hyperlink r:id="rId169" w:history="1">
        <w:r w:rsidRPr="009F384D">
          <w:rPr>
            <w:sz w:val="20"/>
            <w:szCs w:val="20"/>
          </w:rPr>
          <w:t>https://doi.org/10.2307/1352775</w:t>
        </w:r>
      </w:hyperlink>
    </w:p>
    <w:p w14:paraId="56D694B4" w14:textId="1BF3531D" w:rsidR="002767EC" w:rsidRDefault="002767EC" w:rsidP="002767EC">
      <w:pPr>
        <w:rPr>
          <w:sz w:val="20"/>
          <w:szCs w:val="20"/>
        </w:rPr>
      </w:pPr>
      <w:r w:rsidRPr="009F384D">
        <w:rPr>
          <w:sz w:val="20"/>
          <w:szCs w:val="20"/>
        </w:rPr>
        <w:t>State Water Resources Control Board, Regional Water Quality Control Board, 1989. Water Quality Control Plan - Central Coast Basin.</w:t>
      </w:r>
    </w:p>
    <w:p w14:paraId="4E2DC248" w14:textId="23810727" w:rsidR="00000776" w:rsidRPr="009F384D" w:rsidRDefault="00000776" w:rsidP="00000776">
      <w:pPr>
        <w:rPr>
          <w:sz w:val="20"/>
          <w:szCs w:val="20"/>
        </w:rPr>
      </w:pPr>
      <w:r>
        <w:rPr>
          <w:sz w:val="20"/>
          <w:szCs w:val="20"/>
        </w:rPr>
        <w:t>State Water Resources Control Board, 2010. Biointegrity Workplan.</w:t>
      </w:r>
    </w:p>
    <w:p w14:paraId="00B20133" w14:textId="4EF13764" w:rsidR="00000776" w:rsidRPr="009F384D" w:rsidRDefault="00000776" w:rsidP="00000776">
      <w:pPr>
        <w:rPr>
          <w:sz w:val="20"/>
          <w:szCs w:val="20"/>
        </w:rPr>
      </w:pPr>
      <w:r>
        <w:rPr>
          <w:sz w:val="20"/>
          <w:szCs w:val="20"/>
        </w:rPr>
        <w:t>State Water Resources Control Board</w:t>
      </w:r>
      <w:r w:rsidR="001C0B99">
        <w:rPr>
          <w:sz w:val="20"/>
          <w:szCs w:val="20"/>
        </w:rPr>
        <w:t xml:space="preserve"> (SWRCB)</w:t>
      </w:r>
      <w:r>
        <w:rPr>
          <w:sz w:val="20"/>
          <w:szCs w:val="20"/>
        </w:rPr>
        <w:t>, 2014. Nutrient Control Plan.</w:t>
      </w:r>
    </w:p>
    <w:p w14:paraId="5BAFC1FD" w14:textId="20D97EF2" w:rsidR="00000776" w:rsidRPr="009F384D" w:rsidRDefault="00000776" w:rsidP="002767EC">
      <w:pPr>
        <w:rPr>
          <w:sz w:val="20"/>
          <w:szCs w:val="20"/>
        </w:rPr>
      </w:pPr>
      <w:r>
        <w:rPr>
          <w:sz w:val="20"/>
          <w:szCs w:val="20"/>
        </w:rPr>
        <w:t>State Water Resources Control Board, 2016. Focus group outreach document.</w:t>
      </w:r>
    </w:p>
    <w:p w14:paraId="0113907E" w14:textId="77777777" w:rsidR="002767EC" w:rsidRPr="009F384D" w:rsidRDefault="002767EC" w:rsidP="002767EC">
      <w:pPr>
        <w:rPr>
          <w:sz w:val="20"/>
          <w:szCs w:val="20"/>
        </w:rPr>
      </w:pPr>
      <w:r w:rsidRPr="009F384D">
        <w:rPr>
          <w:sz w:val="20"/>
          <w:szCs w:val="20"/>
        </w:rPr>
        <w:t xml:space="preserve">Stevenson, R.J., Rier, S.T., Riseng, C.M., Schultz, R.E., Wiley, M.J., 2006. Comparing Effects of Nutrients on Algal Biomass in Streams in Two Regions with Different Disturbance Regimes and with Applications for Developing Nutrient Criteria. Hydrobiologia 561, 149–165. </w:t>
      </w:r>
      <w:hyperlink r:id="rId170" w:history="1">
        <w:r w:rsidRPr="009F384D">
          <w:rPr>
            <w:sz w:val="20"/>
            <w:szCs w:val="20"/>
          </w:rPr>
          <w:t>https://doi.org/10.1007/s10750-005-1611-5</w:t>
        </w:r>
      </w:hyperlink>
    </w:p>
    <w:p w14:paraId="669ACFBE" w14:textId="77777777" w:rsidR="002767EC" w:rsidRPr="009F384D" w:rsidRDefault="002767EC" w:rsidP="002767EC">
      <w:pPr>
        <w:rPr>
          <w:sz w:val="20"/>
          <w:szCs w:val="20"/>
        </w:rPr>
      </w:pPr>
      <w:r w:rsidRPr="009F384D">
        <w:rPr>
          <w:sz w:val="20"/>
          <w:szCs w:val="20"/>
        </w:rPr>
        <w:t xml:space="preserve">Suikkanen, S., Laamanen, M., Huttunen, M., 2007. Long-term changes in summer phytoplankton communities of the open northern Baltic Sea. Estuarine, Coastal and Shelf Science 71, 580–592. </w:t>
      </w:r>
      <w:hyperlink r:id="rId171" w:history="1">
        <w:r w:rsidRPr="009F384D">
          <w:rPr>
            <w:sz w:val="20"/>
            <w:szCs w:val="20"/>
          </w:rPr>
          <w:t>https://doi.org/10.1016/j.ecss.2006.09.004</w:t>
        </w:r>
      </w:hyperlink>
    </w:p>
    <w:p w14:paraId="5C209F0A" w14:textId="77777777" w:rsidR="002767EC" w:rsidRPr="009F384D" w:rsidRDefault="002767EC" w:rsidP="002767EC">
      <w:pPr>
        <w:rPr>
          <w:sz w:val="20"/>
          <w:szCs w:val="20"/>
        </w:rPr>
      </w:pPr>
      <w:r w:rsidRPr="009F384D">
        <w:rPr>
          <w:sz w:val="20"/>
          <w:szCs w:val="20"/>
        </w:rPr>
        <w:t xml:space="preserve">Suter II, G.W., 1999. Developing Conceptual Models for Complex Ecological Risk Assessments. Human and Ecological Risk Assessment: An International Journal 5, 375–396. </w:t>
      </w:r>
      <w:hyperlink r:id="rId172" w:history="1">
        <w:r w:rsidRPr="009F384D">
          <w:rPr>
            <w:sz w:val="20"/>
            <w:szCs w:val="20"/>
          </w:rPr>
          <w:t>https://doi.org/10.1080/10807039991289491</w:t>
        </w:r>
      </w:hyperlink>
    </w:p>
    <w:p w14:paraId="6A8220F7" w14:textId="77777777" w:rsidR="002767EC" w:rsidRPr="009F384D" w:rsidRDefault="002767EC" w:rsidP="002767EC">
      <w:pPr>
        <w:rPr>
          <w:sz w:val="20"/>
          <w:szCs w:val="20"/>
        </w:rPr>
      </w:pPr>
      <w:r w:rsidRPr="009F384D">
        <w:rPr>
          <w:sz w:val="20"/>
          <w:szCs w:val="20"/>
        </w:rPr>
        <w:t>Sutula, M., 2011. Review of Indicators for Development of Nutrient Numeric Endpoints in California Estuaries (Technical Report No. 646). Southern California Coastal Water Research Project, Costa Mesa, CA.</w:t>
      </w:r>
    </w:p>
    <w:p w14:paraId="1D3797DF" w14:textId="77777777" w:rsidR="002767EC" w:rsidRPr="009F384D" w:rsidRDefault="002767EC" w:rsidP="002767EC">
      <w:pPr>
        <w:rPr>
          <w:sz w:val="20"/>
          <w:szCs w:val="20"/>
        </w:rPr>
      </w:pPr>
      <w:r w:rsidRPr="009F384D">
        <w:rPr>
          <w:sz w:val="20"/>
          <w:szCs w:val="20"/>
        </w:rPr>
        <w:t xml:space="preserve">Sutula, M., Green, L., Cicchetti, G., Detenbeck, N., Fong, P., 2014. Thresholds of Adverse Effects of Macroalgal Abundance and Sediment Organic Matter on Benthic Habitat Quality in Estuarine Intertidal Flats. Estuaries and Coasts 37, 1532–1548. </w:t>
      </w:r>
      <w:hyperlink r:id="rId173" w:history="1">
        <w:r w:rsidRPr="009F384D">
          <w:rPr>
            <w:sz w:val="20"/>
            <w:szCs w:val="20"/>
          </w:rPr>
          <w:t>https://doi.org/10.1007/s12237-014-9796-3</w:t>
        </w:r>
      </w:hyperlink>
    </w:p>
    <w:p w14:paraId="78CA0E50" w14:textId="77777777" w:rsidR="002767EC" w:rsidRPr="009F384D" w:rsidRDefault="002767EC" w:rsidP="002767EC">
      <w:pPr>
        <w:rPr>
          <w:sz w:val="20"/>
          <w:szCs w:val="20"/>
        </w:rPr>
      </w:pPr>
      <w:r w:rsidRPr="009F384D">
        <w:rPr>
          <w:sz w:val="20"/>
          <w:szCs w:val="20"/>
        </w:rPr>
        <w:t>Sutula, M., Kamer, K., Cable, J., 2004. Sediments as a non-point source of nutrients to Malibu Lagoon, California (USA) (Technical Report No. 441). Southern California Coastal Water Research Project, Costa Mesa, CA.</w:t>
      </w:r>
    </w:p>
    <w:p w14:paraId="7A941E20" w14:textId="77777777" w:rsidR="002767EC" w:rsidRPr="009F384D" w:rsidRDefault="002767EC" w:rsidP="002767EC">
      <w:pPr>
        <w:rPr>
          <w:sz w:val="20"/>
          <w:szCs w:val="20"/>
        </w:rPr>
      </w:pPr>
      <w:r w:rsidRPr="009F384D">
        <w:rPr>
          <w:sz w:val="20"/>
          <w:szCs w:val="20"/>
        </w:rPr>
        <w:t>Sutula, M., Kamer, K., Cable, J., Collis, H., Berelson, W., Mendez, J., 2006. Sediments as an internal source of nutrients to Upper Newport Bay, California (Technical Report No. 482). Southern California Coastal Water Research Project, Costa Mesa, CA.</w:t>
      </w:r>
    </w:p>
    <w:p w14:paraId="1F54B6A0" w14:textId="77777777" w:rsidR="002767EC" w:rsidRPr="009F384D" w:rsidRDefault="002767EC" w:rsidP="002767EC">
      <w:pPr>
        <w:rPr>
          <w:sz w:val="20"/>
          <w:szCs w:val="20"/>
        </w:rPr>
      </w:pPr>
      <w:r w:rsidRPr="009F384D">
        <w:rPr>
          <w:sz w:val="20"/>
          <w:szCs w:val="20"/>
        </w:rPr>
        <w:t>Sutula, M.A., Bailey, H., Poucher, S., 2012. Science Supporting Dissolved Oxygen Objectives in California Estuaries (Technical Report No. 684). Southern California Coastal Water Research Project, Costa Mesa, CA.</w:t>
      </w:r>
    </w:p>
    <w:p w14:paraId="0FEEDB7D" w14:textId="77777777" w:rsidR="002767EC" w:rsidRPr="009F384D" w:rsidRDefault="002767EC" w:rsidP="002767EC">
      <w:pPr>
        <w:rPr>
          <w:sz w:val="20"/>
          <w:szCs w:val="20"/>
        </w:rPr>
      </w:pPr>
      <w:r w:rsidRPr="009F384D">
        <w:rPr>
          <w:sz w:val="20"/>
          <w:szCs w:val="20"/>
        </w:rPr>
        <w:t>Sutula, M.A., Butcher, J., Boschen, C., Molina, M., 2016a. Application of watershed loading and estuary water quality models to inform nutrient management in the Santa Margarita River Watershed (933). Southern California Coastal Water Research Project, Costa Mesa, CA.</w:t>
      </w:r>
    </w:p>
    <w:p w14:paraId="59670933" w14:textId="77777777" w:rsidR="002767EC" w:rsidRPr="009F384D" w:rsidRDefault="002767EC" w:rsidP="002767EC">
      <w:pPr>
        <w:rPr>
          <w:sz w:val="20"/>
          <w:szCs w:val="20"/>
        </w:rPr>
      </w:pPr>
      <w:r w:rsidRPr="009F384D">
        <w:rPr>
          <w:sz w:val="20"/>
          <w:szCs w:val="20"/>
        </w:rPr>
        <w:t>Sutula, M.A., Gillett, D.J., Jones, A., 2016b. Status of Eutrophication in San Elijo Lagoon and its Relevance for Restoration (Technical Report No. 938). Southern California Coastal Water Research Project, Costa Mesa, CA.</w:t>
      </w:r>
    </w:p>
    <w:p w14:paraId="60D8CB9B" w14:textId="77777777" w:rsidR="002767EC" w:rsidRPr="009F384D" w:rsidRDefault="002767EC" w:rsidP="002767EC">
      <w:pPr>
        <w:rPr>
          <w:sz w:val="20"/>
          <w:szCs w:val="20"/>
        </w:rPr>
      </w:pPr>
      <w:r w:rsidRPr="009F384D">
        <w:rPr>
          <w:sz w:val="20"/>
          <w:szCs w:val="20"/>
        </w:rPr>
        <w:t>Sutula, M.A., Mazor, R.D., Theroux, S., In Prep. Scientific Bases for Assessment, Prevention, and Management of Biostimulatory Impacts in california Wadeable Streams (Technical Report No. 1048). Southern California Coastal Water Research Project, Costa Mesa, CA.</w:t>
      </w:r>
    </w:p>
    <w:p w14:paraId="7807F097" w14:textId="77777777" w:rsidR="002767EC" w:rsidRPr="009F384D" w:rsidRDefault="002767EC" w:rsidP="002767EC">
      <w:pPr>
        <w:rPr>
          <w:sz w:val="20"/>
          <w:szCs w:val="20"/>
        </w:rPr>
      </w:pPr>
      <w:r w:rsidRPr="009F384D">
        <w:rPr>
          <w:sz w:val="20"/>
          <w:szCs w:val="20"/>
        </w:rPr>
        <w:t>Sutula, M.A., Senn, D., 2017. Scientific Basis to Assess the Effects of Nutrients on San Francisco Bay Beneficial Uses (Technical Report No. 864). Southern California Coastal Water Research Project, Costa Mesa, CA.</w:t>
      </w:r>
    </w:p>
    <w:p w14:paraId="2D992569" w14:textId="28CEADEE" w:rsidR="00000776" w:rsidRPr="009F384D" w:rsidRDefault="002767EC" w:rsidP="002767EC">
      <w:pPr>
        <w:rPr>
          <w:sz w:val="20"/>
          <w:szCs w:val="20"/>
        </w:rPr>
      </w:pPr>
      <w:r w:rsidRPr="009F384D">
        <w:rPr>
          <w:sz w:val="20"/>
          <w:szCs w:val="20"/>
        </w:rPr>
        <w:t>Sutula, M.A., Shultz, D., 2018. Status of eutrophication in the Upper (2016-2017) and Lower Main Stem (2015-2016) of the Santa Margarita River, San Diego County, California. Southern California Coastal Water Research Project, Costa Mesa, CA.</w:t>
      </w:r>
    </w:p>
    <w:p w14:paraId="6C4EF2D0" w14:textId="77777777" w:rsidR="002767EC" w:rsidRPr="009F384D" w:rsidRDefault="002767EC" w:rsidP="002767EC">
      <w:pPr>
        <w:rPr>
          <w:sz w:val="20"/>
          <w:szCs w:val="20"/>
        </w:rPr>
      </w:pPr>
      <w:r w:rsidRPr="009F384D">
        <w:rPr>
          <w:sz w:val="20"/>
          <w:szCs w:val="20"/>
        </w:rPr>
        <w:t>Tetra Tech, 2006. Technical approach to develop nutrients numeric endpoints for California (No. Contract No. 68-C-02-108-To-111). U.S. EPA Region IX.</w:t>
      </w:r>
    </w:p>
    <w:p w14:paraId="2BC60AE7" w14:textId="77777777" w:rsidR="002767EC" w:rsidRPr="009F384D" w:rsidRDefault="002767EC" w:rsidP="002767EC">
      <w:pPr>
        <w:rPr>
          <w:sz w:val="20"/>
          <w:szCs w:val="20"/>
        </w:rPr>
      </w:pPr>
      <w:r w:rsidRPr="009F384D">
        <w:rPr>
          <w:sz w:val="20"/>
          <w:szCs w:val="20"/>
        </w:rPr>
        <w:t>Theroux, S., 2018. Workplan for SWAMP’s Algae Program. State Water Resources Control Board Surface Water Ambient Monitoring Program.</w:t>
      </w:r>
    </w:p>
    <w:p w14:paraId="679D04C6" w14:textId="77777777" w:rsidR="002767EC" w:rsidRPr="009F384D" w:rsidRDefault="002767EC" w:rsidP="002767EC">
      <w:pPr>
        <w:rPr>
          <w:sz w:val="20"/>
          <w:szCs w:val="20"/>
        </w:rPr>
      </w:pPr>
      <w:r w:rsidRPr="009F384D">
        <w:rPr>
          <w:sz w:val="20"/>
          <w:szCs w:val="20"/>
        </w:rPr>
        <w:t>Theroux, S., Mazor, R.D., Ode, P., Sutula, M.A., Stein, E.D., n.d. A statewide algal bioassessment index for statewide wadable streams. In prep for submission to Ecological Indicators. In prep for submission to Ecological Indicators.</w:t>
      </w:r>
    </w:p>
    <w:p w14:paraId="0DCD1D5D" w14:textId="77777777" w:rsidR="002767EC" w:rsidRPr="009F384D" w:rsidRDefault="002767EC" w:rsidP="002767EC">
      <w:pPr>
        <w:rPr>
          <w:sz w:val="20"/>
          <w:szCs w:val="20"/>
        </w:rPr>
      </w:pPr>
      <w:r w:rsidRPr="009F384D">
        <w:rPr>
          <w:sz w:val="20"/>
          <w:szCs w:val="20"/>
        </w:rPr>
        <w:t xml:space="preserve">Trainer, V.L., Adams, N.G., Bill, B.D., Stehr, C.M., Wekell, J.C., Moeller, P., Busman, M., Woodruff, D., 2000. Domoic acid production near California coastal upwelling zones, June 1998. Limnology and Oceanography 45, 1818–1833. </w:t>
      </w:r>
      <w:hyperlink r:id="rId174" w:history="1">
        <w:r w:rsidRPr="009F384D">
          <w:rPr>
            <w:sz w:val="20"/>
            <w:szCs w:val="20"/>
          </w:rPr>
          <w:t>https://doi.org/10.4319/lo.2000.45.8.1818</w:t>
        </w:r>
      </w:hyperlink>
    </w:p>
    <w:p w14:paraId="10EC2ED0" w14:textId="77777777" w:rsidR="002767EC" w:rsidRPr="009F384D" w:rsidRDefault="002767EC" w:rsidP="002767EC">
      <w:pPr>
        <w:rPr>
          <w:sz w:val="20"/>
          <w:szCs w:val="20"/>
        </w:rPr>
      </w:pPr>
      <w:r w:rsidRPr="009F384D">
        <w:rPr>
          <w:sz w:val="20"/>
          <w:szCs w:val="20"/>
        </w:rPr>
        <w:t xml:space="preserve">Trainer, V.L., Bates, S.S., Lundholm, N., Thessen, A.E., Cochlan, W.P., Adams, N.G., Trick, C.G., 2012. Pseudo-nitzschia physiological ecology, phylogeny, toxicity, monitoring and impacts on ecosystem health. Harmful Algae, Harmful Algae--The requirement for species-specific information 14, 271–300. </w:t>
      </w:r>
      <w:hyperlink r:id="rId175" w:history="1">
        <w:r w:rsidRPr="009F384D">
          <w:rPr>
            <w:sz w:val="20"/>
            <w:szCs w:val="20"/>
          </w:rPr>
          <w:t>https://doi.org/10.1016/j.hal.2011.10.025</w:t>
        </w:r>
      </w:hyperlink>
    </w:p>
    <w:p w14:paraId="4FCC939D" w14:textId="77777777" w:rsidR="002767EC" w:rsidRPr="009F384D" w:rsidRDefault="002767EC" w:rsidP="002767EC">
      <w:pPr>
        <w:rPr>
          <w:sz w:val="20"/>
          <w:szCs w:val="20"/>
        </w:rPr>
      </w:pPr>
      <w:r w:rsidRPr="009F384D">
        <w:rPr>
          <w:sz w:val="20"/>
          <w:szCs w:val="20"/>
        </w:rPr>
        <w:t xml:space="preserve">Trainer, V.L., Hickey, B.M., Horner, R.A., 2002. Biological and physical dynamics of domoic acid production off the Washington coast. Limnology and Oceanography 47, 1438–1446. </w:t>
      </w:r>
      <w:hyperlink r:id="rId176" w:history="1">
        <w:r w:rsidRPr="009F384D">
          <w:rPr>
            <w:sz w:val="20"/>
            <w:szCs w:val="20"/>
          </w:rPr>
          <w:t>https://doi.org/10.4319/lo.2002.47.5.1438</w:t>
        </w:r>
      </w:hyperlink>
    </w:p>
    <w:p w14:paraId="7647D4C2" w14:textId="77777777" w:rsidR="002767EC" w:rsidRPr="009F384D" w:rsidRDefault="002767EC" w:rsidP="002767EC">
      <w:pPr>
        <w:rPr>
          <w:sz w:val="20"/>
          <w:szCs w:val="20"/>
        </w:rPr>
      </w:pPr>
      <w:r w:rsidRPr="009F384D">
        <w:rPr>
          <w:sz w:val="20"/>
          <w:szCs w:val="20"/>
        </w:rPr>
        <w:t>Trowbridge, P., Shimabuki, I., Bresnahan, P., Wheeler, S., Knight, E., Nielsen, K., Largier, J., Sutula, M., Valiela, L., Nutters, H., 2016. Summary of Workshop on Monitoring for Acidi ication Threats in West Coast Estuaries: A San Francisco Bay Case Study. San Francisco Estuary Institute, Richmond, CA.</w:t>
      </w:r>
    </w:p>
    <w:p w14:paraId="3CBA17CE" w14:textId="77777777" w:rsidR="002767EC" w:rsidRPr="009F384D" w:rsidRDefault="002767EC" w:rsidP="002767EC">
      <w:pPr>
        <w:rPr>
          <w:sz w:val="20"/>
          <w:szCs w:val="20"/>
        </w:rPr>
      </w:pPr>
      <w:r w:rsidRPr="009F384D">
        <w:rPr>
          <w:sz w:val="20"/>
          <w:szCs w:val="20"/>
        </w:rPr>
        <w:t xml:space="preserve">Turner, R.K., Lorenzoni, I., Beaumont, N., Bateman, I.J., Langford, I.H., McDonald, A.L., 1998. Coastal Management for Sustainable Development: Analysing Environmental and Socio-Economic Changes on the UK Coast. The Geographical Journal 164, 269–281. </w:t>
      </w:r>
      <w:hyperlink r:id="rId177" w:history="1">
        <w:r w:rsidRPr="009F384D">
          <w:rPr>
            <w:sz w:val="20"/>
            <w:szCs w:val="20"/>
          </w:rPr>
          <w:t>https://doi.org/10.2307/3060616</w:t>
        </w:r>
      </w:hyperlink>
    </w:p>
    <w:p w14:paraId="4A300118" w14:textId="2747D769" w:rsidR="002767EC" w:rsidRDefault="002767EC" w:rsidP="002767EC">
      <w:pPr>
        <w:rPr>
          <w:sz w:val="20"/>
          <w:szCs w:val="20"/>
        </w:rPr>
      </w:pPr>
      <w:r w:rsidRPr="009F384D">
        <w:rPr>
          <w:sz w:val="20"/>
          <w:szCs w:val="20"/>
        </w:rPr>
        <w:t xml:space="preserve">Twilley, R., Kemp, W., Staver, K., Stevenson, J., Boynton, W., 1985. Nutrient enrichment of estuarine submersed vascular plant communities. 1. Algal growth and effects on production of plants and associated communities. Marine Ecology Progress Series 23, 179–191. </w:t>
      </w:r>
      <w:hyperlink r:id="rId178" w:history="1">
        <w:r w:rsidRPr="009F384D">
          <w:rPr>
            <w:sz w:val="20"/>
            <w:szCs w:val="20"/>
          </w:rPr>
          <w:t>https://doi.org/10.3354/meps023179</w:t>
        </w:r>
      </w:hyperlink>
    </w:p>
    <w:p w14:paraId="2EA6C598" w14:textId="77777777" w:rsidR="002767EC" w:rsidRPr="009F384D" w:rsidRDefault="002767EC" w:rsidP="002767EC">
      <w:pPr>
        <w:rPr>
          <w:sz w:val="20"/>
          <w:szCs w:val="20"/>
        </w:rPr>
      </w:pPr>
      <w:r w:rsidRPr="009F384D">
        <w:rPr>
          <w:sz w:val="20"/>
          <w:szCs w:val="20"/>
        </w:rPr>
        <w:t>USEPA, 2010. Using Stressor-response Relationships to Derive Numeric Nutrient Criteria (No. EPA-820-S-10-001). U.S. Environmental Protection Agency, Office of Water, Office of Science and Technology, Washington, DC.</w:t>
      </w:r>
    </w:p>
    <w:p w14:paraId="4EF723D2" w14:textId="77777777" w:rsidR="002767EC" w:rsidRPr="009F384D" w:rsidRDefault="002767EC" w:rsidP="002767EC">
      <w:pPr>
        <w:rPr>
          <w:sz w:val="20"/>
          <w:szCs w:val="20"/>
        </w:rPr>
      </w:pPr>
      <w:r w:rsidRPr="009F384D">
        <w:rPr>
          <w:sz w:val="20"/>
          <w:szCs w:val="20"/>
        </w:rPr>
        <w:t>USEPA, 2007. Technical Approach To Develop Nutrient Numeric Endpoints For California Estuaries.</w:t>
      </w:r>
    </w:p>
    <w:p w14:paraId="7A2613B1" w14:textId="0E61F995" w:rsidR="002767EC" w:rsidRDefault="002767EC" w:rsidP="002767EC">
      <w:pPr>
        <w:rPr>
          <w:sz w:val="20"/>
          <w:szCs w:val="20"/>
        </w:rPr>
      </w:pPr>
      <w:r w:rsidRPr="009F384D">
        <w:rPr>
          <w:sz w:val="20"/>
          <w:szCs w:val="20"/>
        </w:rPr>
        <w:t>USEPA, 2001. Nutrient Criteria Technical Guidance Manual: Estuarine and Coastal Marine Waters (No. EPA-822-B-01-003). Washington, D.C.</w:t>
      </w:r>
    </w:p>
    <w:p w14:paraId="21CE566D" w14:textId="77777777" w:rsidR="002767EC" w:rsidRPr="009F384D" w:rsidRDefault="002767EC" w:rsidP="002767EC">
      <w:pPr>
        <w:rPr>
          <w:sz w:val="20"/>
          <w:szCs w:val="20"/>
        </w:rPr>
      </w:pPr>
      <w:r w:rsidRPr="009F384D">
        <w:rPr>
          <w:sz w:val="20"/>
          <w:szCs w:val="20"/>
        </w:rPr>
        <w:t>USEPA, 1998. Guidelines for Ecological Risk Assessment (No. EPA/630/R-95/002F). U.S. Environmental Protection Agency.</w:t>
      </w:r>
    </w:p>
    <w:p w14:paraId="03D66772" w14:textId="77777777" w:rsidR="002767EC" w:rsidRPr="009F384D" w:rsidRDefault="002767EC" w:rsidP="002767EC">
      <w:pPr>
        <w:rPr>
          <w:sz w:val="20"/>
          <w:szCs w:val="20"/>
        </w:rPr>
      </w:pPr>
      <w:r w:rsidRPr="009F384D">
        <w:rPr>
          <w:sz w:val="20"/>
          <w:szCs w:val="20"/>
        </w:rPr>
        <w:t>USEPA, 1993. Guidance Specifying Management Measures For Sources of Nonpoint Pollution in Coastal Waters (No. 840- B-92– 002). U.S. Environmental Protection Agency, Office of Water, Washington, D.C.</w:t>
      </w:r>
    </w:p>
    <w:p w14:paraId="534B3DB4" w14:textId="77777777" w:rsidR="002767EC" w:rsidRPr="009F384D" w:rsidRDefault="002767EC" w:rsidP="002767EC">
      <w:pPr>
        <w:rPr>
          <w:sz w:val="20"/>
          <w:szCs w:val="20"/>
        </w:rPr>
      </w:pPr>
      <w:r w:rsidRPr="009F384D">
        <w:rPr>
          <w:sz w:val="20"/>
          <w:szCs w:val="20"/>
        </w:rPr>
        <w:t>USEPA, 1990. Biological Criteria National Program Guidance for Surface Waters (No. EPA-440/5-90-004). United States Environmental Protection Agency, Office of Water, Washington, D.C.</w:t>
      </w:r>
    </w:p>
    <w:p w14:paraId="088B1290" w14:textId="77777777" w:rsidR="002767EC" w:rsidRPr="009F384D" w:rsidRDefault="002767EC" w:rsidP="002767EC">
      <w:pPr>
        <w:rPr>
          <w:sz w:val="20"/>
          <w:szCs w:val="20"/>
        </w:rPr>
      </w:pPr>
      <w:r w:rsidRPr="009F384D">
        <w:rPr>
          <w:sz w:val="20"/>
          <w:szCs w:val="20"/>
        </w:rPr>
        <w:t xml:space="preserve">Valiela, I., Foreman, K., LaMontagne, M., Hersh, D., Costa, J., Peckol, P., DeMeo-Andreson, B., D’Avanzo, C., Babione, M., Sham, C.-H., Brawley, J., Lajtha, K., 1992. Couplings of Watersheds and Coastal Waters: Sources and Consequences of Nutrient Enrichment in Waquoit Bay, Massachusetts. Estuaries 15, 443. </w:t>
      </w:r>
      <w:hyperlink r:id="rId179" w:history="1">
        <w:r w:rsidRPr="009F384D">
          <w:rPr>
            <w:sz w:val="20"/>
            <w:szCs w:val="20"/>
          </w:rPr>
          <w:t>https://doi.org/10.2307/1352389</w:t>
        </w:r>
      </w:hyperlink>
    </w:p>
    <w:p w14:paraId="5A53CE91" w14:textId="77777777" w:rsidR="002767EC" w:rsidRPr="009F384D" w:rsidRDefault="002767EC" w:rsidP="002767EC">
      <w:pPr>
        <w:rPr>
          <w:sz w:val="20"/>
          <w:szCs w:val="20"/>
        </w:rPr>
      </w:pPr>
      <w:r w:rsidRPr="009F384D">
        <w:rPr>
          <w:sz w:val="20"/>
          <w:szCs w:val="20"/>
        </w:rPr>
        <w:t xml:space="preserve">Valiela, I., McClelland, J., Hauxwell, J., Behr, P.J., Hersh, D., Foreman, K., 1997. Macroalgal blooms in shallow estuaries: Controls and ecophysiological and ecosystem consequences. Limnology and Oceanography 42, 1105–1118. </w:t>
      </w:r>
      <w:hyperlink r:id="rId180" w:history="1">
        <w:r w:rsidRPr="009F384D">
          <w:rPr>
            <w:sz w:val="20"/>
            <w:szCs w:val="20"/>
          </w:rPr>
          <w:t>https://doi.org/10.4319/lo.1997.42.5_part_2.1105</w:t>
        </w:r>
      </w:hyperlink>
    </w:p>
    <w:p w14:paraId="5C28699D" w14:textId="77777777" w:rsidR="002767EC" w:rsidRPr="009F384D" w:rsidRDefault="002767EC" w:rsidP="002767EC">
      <w:pPr>
        <w:rPr>
          <w:sz w:val="20"/>
          <w:szCs w:val="20"/>
        </w:rPr>
      </w:pPr>
      <w:r w:rsidRPr="009F384D">
        <w:rPr>
          <w:sz w:val="20"/>
          <w:szCs w:val="20"/>
        </w:rPr>
        <w:t>Van Dolah, F.M., Doucette, G.J., Gulland, F.M.D., Rowles, T., Bossart, G., 2003. 10 Impacts of algal toxins on marine mammals., in: Toxicology of Marine Mammals Chapter 10. CRC Press.</w:t>
      </w:r>
    </w:p>
    <w:p w14:paraId="15689D2E" w14:textId="77777777" w:rsidR="002767EC" w:rsidRPr="009F384D" w:rsidRDefault="002767EC" w:rsidP="002767EC">
      <w:pPr>
        <w:rPr>
          <w:sz w:val="20"/>
          <w:szCs w:val="20"/>
        </w:rPr>
      </w:pPr>
      <w:r w:rsidRPr="009F384D">
        <w:rPr>
          <w:sz w:val="20"/>
          <w:szCs w:val="20"/>
        </w:rPr>
        <w:t xml:space="preserve">Vaquer-Sunyer, R., Duarte, C.M., 2008. Thresholds of hypoxia for marine biodiversity. PNAS 105, 15452–15457. </w:t>
      </w:r>
      <w:hyperlink r:id="rId181" w:history="1">
        <w:r w:rsidRPr="009F384D">
          <w:rPr>
            <w:sz w:val="20"/>
            <w:szCs w:val="20"/>
          </w:rPr>
          <w:t>https://doi.org/10.1073/pnas.0803833105</w:t>
        </w:r>
      </w:hyperlink>
    </w:p>
    <w:p w14:paraId="6962ABD3" w14:textId="77777777" w:rsidR="002767EC" w:rsidRPr="009F384D" w:rsidRDefault="002767EC" w:rsidP="002767EC">
      <w:pPr>
        <w:rPr>
          <w:sz w:val="20"/>
          <w:szCs w:val="20"/>
        </w:rPr>
      </w:pPr>
      <w:r w:rsidRPr="009F384D">
        <w:rPr>
          <w:sz w:val="20"/>
          <w:szCs w:val="20"/>
        </w:rPr>
        <w:t xml:space="preserve">Viaroli, P., Bartoli, M., Giordani, G., Naldi, M., Orfanidis, S., Zaldivar, J.M., 2008. Community shifts, alternative stable states, biogeochemical controls and feedbacks in eutrophic coastal lagoons: a brief overview. Aquatic Conservation: Marine and Freshwater Ecosystems 18, S105–S117. </w:t>
      </w:r>
      <w:hyperlink r:id="rId182" w:history="1">
        <w:r w:rsidRPr="009F384D">
          <w:rPr>
            <w:sz w:val="20"/>
            <w:szCs w:val="20"/>
          </w:rPr>
          <w:t>https://doi.org/10.1002/aqc.956</w:t>
        </w:r>
      </w:hyperlink>
    </w:p>
    <w:p w14:paraId="0966ADC0" w14:textId="77777777" w:rsidR="002767EC" w:rsidRPr="009F384D" w:rsidRDefault="002767EC" w:rsidP="002767EC">
      <w:pPr>
        <w:rPr>
          <w:sz w:val="20"/>
          <w:szCs w:val="20"/>
        </w:rPr>
      </w:pPr>
      <w:r w:rsidRPr="009F384D">
        <w:rPr>
          <w:sz w:val="20"/>
          <w:szCs w:val="20"/>
        </w:rPr>
        <w:t>Viers, J.H., Liptzin, D., Rosenstock, T.S., Jensen, V.B., Hollander, A.D., King, A.M., Kourakos, G., Lopez, E.M., Dzurella, K.N., Canada, H., Laybourne, S., McKenney, C., Darby, J., Quinn, J.F., Harter, T., 2012. Nitrogen Sources and Loading to Groundwater (Report for the State Water Resources Control Board Report to the Legislature No. Technical Report 2), Addressing Nitrate in California’s Drinking Water with a Focus on Tulare Lake Basin and Salinas Valley Groundwater. Center for Watershed Sciences, University of California, Davis.</w:t>
      </w:r>
    </w:p>
    <w:p w14:paraId="43244809" w14:textId="77777777" w:rsidR="002767EC" w:rsidRPr="009F384D" w:rsidRDefault="002767EC" w:rsidP="002767EC">
      <w:pPr>
        <w:rPr>
          <w:sz w:val="20"/>
          <w:szCs w:val="20"/>
        </w:rPr>
      </w:pPr>
      <w:r w:rsidRPr="009F384D">
        <w:rPr>
          <w:sz w:val="20"/>
          <w:szCs w:val="20"/>
        </w:rPr>
        <w:t xml:space="preserve">Welch, E.B., Horner, R.R., Patmont, C.R., 1989. Prediction of nuisance periphytic biomass: A management approach. Water Research 23, 401–405. </w:t>
      </w:r>
      <w:hyperlink r:id="rId183" w:history="1">
        <w:r w:rsidRPr="009F384D">
          <w:rPr>
            <w:sz w:val="20"/>
            <w:szCs w:val="20"/>
          </w:rPr>
          <w:t>https://doi.org/10.1016/0043-1354(89)90130-9</w:t>
        </w:r>
      </w:hyperlink>
    </w:p>
    <w:p w14:paraId="61EC5E54" w14:textId="77777777" w:rsidR="002767EC" w:rsidRPr="009F384D" w:rsidRDefault="002767EC" w:rsidP="002767EC">
      <w:pPr>
        <w:rPr>
          <w:sz w:val="20"/>
          <w:szCs w:val="20"/>
        </w:rPr>
      </w:pPr>
      <w:r w:rsidRPr="009F384D">
        <w:rPr>
          <w:sz w:val="20"/>
          <w:szCs w:val="20"/>
        </w:rPr>
        <w:t xml:space="preserve">Wells, M.L., Trick, C.G., Cochlan, W.P., Hughes, M.P., Trainer, V.L., 2005. Domoic acid: The synergy of iron, copper, and the toxicity of diatoms. Limnology and Oceanography 50, 1908–1917. </w:t>
      </w:r>
      <w:hyperlink r:id="rId184" w:history="1">
        <w:r w:rsidRPr="009F384D">
          <w:rPr>
            <w:sz w:val="20"/>
            <w:szCs w:val="20"/>
          </w:rPr>
          <w:t>https://doi.org/10.4319/lo.2005.50.6.1908</w:t>
        </w:r>
      </w:hyperlink>
    </w:p>
    <w:p w14:paraId="2295B752" w14:textId="69A6882F" w:rsidR="002767EC" w:rsidRPr="002767EC" w:rsidRDefault="002767EC" w:rsidP="00184564">
      <w:r w:rsidRPr="009F384D">
        <w:rPr>
          <w:sz w:val="20"/>
          <w:szCs w:val="20"/>
        </w:rPr>
        <w:t>Worcester, K.R., Paradies, D.M., Adams, M., 2010. Interpreting Narrative Objectives for Biostimulatory Substances for California Central Coast Waters (Technical Report). Central Coast Ambient Monitoring Program, California Central Coast Water Board.</w:t>
      </w:r>
    </w:p>
    <w:p w14:paraId="2AF26153" w14:textId="77777777" w:rsidR="008A388C" w:rsidRDefault="008A388C" w:rsidP="008A388C"/>
    <w:p w14:paraId="2F8C67F9" w14:textId="2701DBD2" w:rsidR="008A388C" w:rsidRDefault="008A388C" w:rsidP="008A388C">
      <w:pPr>
        <w:pStyle w:val="Heading1"/>
      </w:pPr>
      <w:r>
        <w:br w:type="page"/>
      </w:r>
      <w:bookmarkStart w:id="141" w:name="_Toc525589911"/>
      <w:bookmarkStart w:id="142" w:name="_Toc525595063"/>
      <w:bookmarkStart w:id="143" w:name="_Toc526196699"/>
      <w:r>
        <w:t>Appendix I</w:t>
      </w:r>
      <w:r w:rsidR="006C7FF4">
        <w:t>.</w:t>
      </w:r>
      <w:r>
        <w:tab/>
        <w:t>Important Definitions</w:t>
      </w:r>
      <w:bookmarkEnd w:id="141"/>
      <w:bookmarkEnd w:id="142"/>
      <w:bookmarkEnd w:id="143"/>
    </w:p>
    <w:p w14:paraId="387D857D" w14:textId="77777777" w:rsidR="008A388C" w:rsidRDefault="008A388C" w:rsidP="008A388C">
      <w:pPr>
        <w:jc w:val="both"/>
        <w:rPr>
          <w:color w:val="000000"/>
        </w:rPr>
      </w:pPr>
      <w:r>
        <w:rPr>
          <w:color w:val="000000"/>
        </w:rPr>
        <w:t xml:space="preserve">For those outside the regulatory world, distinction between terms like “criteria,” “standards”, “objectives,” and “endpoints” can be confusing. The purpose of this section is to provide definitions of the terms that are linked closely to how the eutrophication framework can be implemented. </w:t>
      </w:r>
    </w:p>
    <w:p w14:paraId="4276D192" w14:textId="7FDFA473" w:rsidR="008A388C" w:rsidRDefault="008A388C" w:rsidP="008A388C">
      <w:pPr>
        <w:jc w:val="both"/>
      </w:pPr>
      <w:r>
        <w:rPr>
          <w:b/>
          <w:u w:val="single"/>
        </w:rPr>
        <w:t>Eutrophication</w:t>
      </w:r>
      <w:r>
        <w:rPr>
          <w:u w:val="single"/>
        </w:rPr>
        <w:t>:</w:t>
      </w:r>
      <w:r>
        <w:t xml:space="preserve"> Eutrophication is defined as the acceleration of the delivery, in situ production of organic matter, and accumulation of organic </w:t>
      </w:r>
      <w:r w:rsidRPr="000843A8">
        <w:t>matter (</w:t>
      </w:r>
      <w:r w:rsidR="006C7FF4" w:rsidRPr="000843A8">
        <w:t xml:space="preserve">Nixon </w:t>
      </w:r>
      <w:r w:rsidRPr="000843A8">
        <w:t>1995). One</w:t>
      </w:r>
      <w:r>
        <w:t xml:space="preserve"> main cause of eutrophication in estuaries is nutrient over enrichment (nitrogen, phosphorus and silica). However, other factors influence primary producer growth and the build-up of nutrient concentrations, and hence modify (or buffer) the response of a system to increased nutrient loads (herein referred to as </w:t>
      </w:r>
      <w:r>
        <w:rPr>
          <w:b/>
          <w:u w:val="single"/>
        </w:rPr>
        <w:t>co-factors</w:t>
      </w:r>
      <w:r>
        <w:t xml:space="preserve">). These </w:t>
      </w:r>
      <w:r>
        <w:rPr>
          <w:u w:val="single"/>
        </w:rPr>
        <w:t>cofactors</w:t>
      </w:r>
      <w:r>
        <w:t xml:space="preserve"> include hydrologic residence times, </w:t>
      </w:r>
      <w:r w:rsidR="006C7FF4">
        <w:t xml:space="preserve">mixing </w:t>
      </w:r>
      <w:r>
        <w:t xml:space="preserve">characteristics, water temperature, light climate, grazing pressure and, in some cases, coastal upwelling. </w:t>
      </w:r>
    </w:p>
    <w:p w14:paraId="63529A9D" w14:textId="77777777" w:rsidR="008A388C" w:rsidRDefault="008A388C" w:rsidP="008A388C">
      <w:pPr>
        <w:jc w:val="both"/>
        <w:rPr>
          <w:color w:val="000000"/>
        </w:rPr>
      </w:pPr>
      <w:r>
        <w:rPr>
          <w:b/>
          <w:i/>
          <w:color w:val="000000"/>
          <w:u w:val="single"/>
        </w:rPr>
        <w:t>Indicator</w:t>
      </w:r>
      <w:r>
        <w:rPr>
          <w:b/>
          <w:color w:val="000000"/>
          <w:u w:val="single"/>
        </w:rPr>
        <w:t>:</w:t>
      </w:r>
      <w:r>
        <w:rPr>
          <w:color w:val="000000"/>
        </w:rPr>
        <w:t xml:space="preserve"> A characteristic of an ecosystem that is related to, or derived from, a measure of biotic or abiotic variable, that can provide quantitative information on ecological condition, structure and/or function. With respect to the water quality objectives, indicators are the ecological parameters for which narrative or numeric objectives are developed. </w:t>
      </w:r>
    </w:p>
    <w:p w14:paraId="73026B4C" w14:textId="77777777" w:rsidR="008A388C" w:rsidRDefault="008A388C" w:rsidP="008A388C">
      <w:pPr>
        <w:jc w:val="both"/>
        <w:rPr>
          <w:color w:val="000000"/>
        </w:rPr>
      </w:pPr>
      <w:r>
        <w:rPr>
          <w:b/>
          <w:i/>
          <w:color w:val="000000"/>
          <w:u w:val="single"/>
        </w:rPr>
        <w:t>Water Quality Standard</w:t>
      </w:r>
      <w:r>
        <w:rPr>
          <w:color w:val="000000"/>
          <w:u w:val="single"/>
        </w:rPr>
        <w:t>s:</w:t>
      </w:r>
      <w:r>
        <w:rPr>
          <w:color w:val="000000"/>
        </w:rPr>
        <w:t xml:space="preserve"> Water quality standards are the foundation of the water quality-based control program mandated by the Clean Water Act. Water Quality Standards define the goals for a waterbody by designating its uses, setting criteria to protect those uses, and establishing provisions to protect water quality from pollutants. A water quality standard consists of three basic elements:</w:t>
      </w:r>
    </w:p>
    <w:p w14:paraId="3EDB42E3" w14:textId="77777777" w:rsidR="008A388C" w:rsidRDefault="008A388C" w:rsidP="00783E18">
      <w:pPr>
        <w:numPr>
          <w:ilvl w:val="0"/>
          <w:numId w:val="17"/>
        </w:numPr>
        <w:jc w:val="both"/>
        <w:rPr>
          <w:color w:val="000000"/>
        </w:rPr>
      </w:pPr>
      <w:r>
        <w:rPr>
          <w:b/>
          <w:color w:val="000000"/>
        </w:rPr>
        <w:t>Designated uses</w:t>
      </w:r>
      <w:r>
        <w:rPr>
          <w:color w:val="000000"/>
        </w:rPr>
        <w:t xml:space="preserve"> of the water body (e.g., recreation, water supply, aquatic life, agriculture; Table 1.1), </w:t>
      </w:r>
    </w:p>
    <w:p w14:paraId="7CA1D71A" w14:textId="77777777" w:rsidR="008A388C" w:rsidRDefault="008A388C" w:rsidP="00783E18">
      <w:pPr>
        <w:numPr>
          <w:ilvl w:val="0"/>
          <w:numId w:val="17"/>
        </w:numPr>
        <w:jc w:val="both"/>
        <w:rPr>
          <w:color w:val="000000"/>
        </w:rPr>
      </w:pPr>
      <w:r>
        <w:rPr>
          <w:b/>
          <w:color w:val="000000"/>
        </w:rPr>
        <w:t>Water quality criteria</w:t>
      </w:r>
      <w:r>
        <w:rPr>
          <w:color w:val="000000"/>
        </w:rPr>
        <w:t xml:space="preserve"> to protect designated uses (numeric pollutant concentrations and narrative requirements), and</w:t>
      </w:r>
    </w:p>
    <w:p w14:paraId="67C5FC13" w14:textId="41B4C4E4" w:rsidR="008A388C" w:rsidRDefault="008A388C" w:rsidP="00783E18">
      <w:pPr>
        <w:numPr>
          <w:ilvl w:val="0"/>
          <w:numId w:val="17"/>
        </w:numPr>
        <w:jc w:val="both"/>
        <w:rPr>
          <w:color w:val="000000"/>
        </w:rPr>
      </w:pPr>
      <w:r>
        <w:rPr>
          <w:b/>
          <w:color w:val="000000"/>
        </w:rPr>
        <w:t>Antidegradation policy</w:t>
      </w:r>
      <w:r>
        <w:rPr>
          <w:color w:val="000000"/>
        </w:rPr>
        <w:t xml:space="preserve"> to maintain and protect </w:t>
      </w:r>
      <w:r w:rsidR="006C7FF4">
        <w:rPr>
          <w:color w:val="000000"/>
        </w:rPr>
        <w:t xml:space="preserve">existing </w:t>
      </w:r>
      <w:r>
        <w:rPr>
          <w:color w:val="000000"/>
        </w:rPr>
        <w:t xml:space="preserve">uses and high-quality waters. </w:t>
      </w:r>
    </w:p>
    <w:p w14:paraId="31645A04" w14:textId="77777777" w:rsidR="008A388C" w:rsidRDefault="008A388C" w:rsidP="008A388C">
      <w:pPr>
        <w:jc w:val="both"/>
        <w:rPr>
          <w:color w:val="000000"/>
        </w:rPr>
      </w:pPr>
      <w:r>
        <w:rPr>
          <w:b/>
          <w:i/>
          <w:color w:val="000000"/>
          <w:u w:val="single"/>
        </w:rPr>
        <w:t>Water Quality Criteria:</w:t>
      </w:r>
      <w:r>
        <w:rPr>
          <w:color w:val="000000"/>
        </w:rPr>
        <w:t xml:space="preserve"> Section 303 of the Clean Water Act gives the States and authorized Tribes power to adopt water quality criteria with sufficient coverage of parameters and of adequate stringency to protect designated uses. In adopting criteria, States and Tribes may:</w:t>
      </w:r>
    </w:p>
    <w:p w14:paraId="71DE219E" w14:textId="77777777" w:rsidR="008A388C" w:rsidRDefault="008A388C" w:rsidP="00783E18">
      <w:pPr>
        <w:numPr>
          <w:ilvl w:val="0"/>
          <w:numId w:val="18"/>
        </w:numPr>
        <w:jc w:val="both"/>
        <w:rPr>
          <w:color w:val="000000"/>
        </w:rPr>
      </w:pPr>
      <w:r>
        <w:rPr>
          <w:color w:val="000000"/>
        </w:rPr>
        <w:t xml:space="preserve">Adopt the criteria that US EPA publishes under §304(a) of the Clean Water Act; </w:t>
      </w:r>
    </w:p>
    <w:p w14:paraId="71BCA641" w14:textId="77777777" w:rsidR="008A388C" w:rsidRDefault="008A388C" w:rsidP="00783E18">
      <w:pPr>
        <w:numPr>
          <w:ilvl w:val="0"/>
          <w:numId w:val="18"/>
        </w:numPr>
        <w:jc w:val="both"/>
        <w:rPr>
          <w:color w:val="000000"/>
        </w:rPr>
      </w:pPr>
      <w:r>
        <w:rPr>
          <w:color w:val="000000"/>
        </w:rPr>
        <w:t xml:space="preserve">Modify the §304(a) criteria to reflect site-specific conditions; or </w:t>
      </w:r>
    </w:p>
    <w:p w14:paraId="6D42EF31" w14:textId="77777777" w:rsidR="008A388C" w:rsidRDefault="008A388C" w:rsidP="00783E18">
      <w:pPr>
        <w:numPr>
          <w:ilvl w:val="0"/>
          <w:numId w:val="18"/>
        </w:numPr>
        <w:spacing w:after="120"/>
        <w:jc w:val="both"/>
        <w:rPr>
          <w:color w:val="000000"/>
        </w:rPr>
      </w:pPr>
      <w:r>
        <w:rPr>
          <w:color w:val="000000"/>
        </w:rPr>
        <w:t xml:space="preserve">Adopt criteria based on other scientifically-defensible methods. </w:t>
      </w:r>
    </w:p>
    <w:p w14:paraId="3BDF1413" w14:textId="77777777" w:rsidR="008A388C" w:rsidRDefault="008A388C" w:rsidP="008A388C">
      <w:pPr>
        <w:pBdr>
          <w:top w:val="nil"/>
          <w:left w:val="nil"/>
          <w:bottom w:val="nil"/>
          <w:right w:val="nil"/>
          <w:between w:val="nil"/>
        </w:pBdr>
        <w:spacing w:after="0" w:line="240" w:lineRule="auto"/>
        <w:jc w:val="both"/>
        <w:rPr>
          <w:rFonts w:ascii="Arial" w:eastAsia="Arial" w:hAnsi="Arial" w:cs="Arial"/>
          <w:color w:val="000000"/>
          <w:sz w:val="12"/>
          <w:szCs w:val="12"/>
        </w:rPr>
      </w:pPr>
    </w:p>
    <w:p w14:paraId="7811FEAE" w14:textId="4EF23512" w:rsidR="008A388C" w:rsidRDefault="008A388C" w:rsidP="008A388C">
      <w:pPr>
        <w:jc w:val="both"/>
        <w:rPr>
          <w:color w:val="000000"/>
        </w:rPr>
      </w:pPr>
      <w:r>
        <w:rPr>
          <w:color w:val="000000"/>
        </w:rPr>
        <w:t xml:space="preserve">The State of California’s water criteria are implemented as “water quality objectives,” as defined in the Water Code (of the Porter Cologne Act; for further </w:t>
      </w:r>
      <w:r w:rsidR="006C7FF4">
        <w:rPr>
          <w:color w:val="000000"/>
        </w:rPr>
        <w:t>explanation</w:t>
      </w:r>
      <w:r>
        <w:rPr>
          <w:color w:val="000000"/>
        </w:rPr>
        <w:t xml:space="preserve">, see below). </w:t>
      </w:r>
    </w:p>
    <w:p w14:paraId="65645AFC" w14:textId="77777777" w:rsidR="008A388C" w:rsidRDefault="008A388C" w:rsidP="008A388C">
      <w:pPr>
        <w:jc w:val="both"/>
        <w:rPr>
          <w:color w:val="000000"/>
        </w:rPr>
      </w:pPr>
      <w:r>
        <w:rPr>
          <w:color w:val="000000"/>
        </w:rPr>
        <w:t xml:space="preserve">States and Tribes typically adopt both </w:t>
      </w:r>
      <w:r>
        <w:rPr>
          <w:b/>
          <w:color w:val="000000"/>
        </w:rPr>
        <w:t>numeric</w:t>
      </w:r>
      <w:r>
        <w:rPr>
          <w:color w:val="000000"/>
        </w:rPr>
        <w:t xml:space="preserve"> and </w:t>
      </w:r>
      <w:r>
        <w:rPr>
          <w:b/>
          <w:color w:val="000000"/>
        </w:rPr>
        <w:t>narrative</w:t>
      </w:r>
      <w:r>
        <w:rPr>
          <w:color w:val="000000"/>
        </w:rPr>
        <w:t xml:space="preserve"> criteria. </w:t>
      </w:r>
      <w:r>
        <w:rPr>
          <w:b/>
          <w:color w:val="000000"/>
        </w:rPr>
        <w:t>Numeric</w:t>
      </w:r>
      <w:r>
        <w:rPr>
          <w:color w:val="000000"/>
        </w:rPr>
        <w:t xml:space="preserve"> criteria are quantitative. </w:t>
      </w:r>
      <w:r>
        <w:rPr>
          <w:b/>
          <w:color w:val="000000"/>
        </w:rPr>
        <w:t>Narrative</w:t>
      </w:r>
      <w:r>
        <w:rPr>
          <w:color w:val="000000"/>
        </w:rPr>
        <w:t xml:space="preserve"> criteria lack specific numeric targets but define a targeted condition that must be achieved.</w:t>
      </w:r>
    </w:p>
    <w:p w14:paraId="56036676" w14:textId="7E061BB7" w:rsidR="008A388C" w:rsidRDefault="008A388C" w:rsidP="008A388C">
      <w:pPr>
        <w:spacing w:after="120"/>
        <w:jc w:val="both"/>
        <w:rPr>
          <w:color w:val="000000"/>
        </w:rPr>
      </w:pPr>
      <w:r>
        <w:rPr>
          <w:color w:val="000000"/>
        </w:rPr>
        <w:t xml:space="preserve">Section 303(c)(2)(B) of the Clean Water Act requires States and authorized Tribes to adopt numeric criteria for priority </w:t>
      </w:r>
      <w:r w:rsidR="006C7FF4">
        <w:rPr>
          <w:color w:val="000000"/>
        </w:rPr>
        <w:t xml:space="preserve">toxic </w:t>
      </w:r>
      <w:r>
        <w:rPr>
          <w:color w:val="000000"/>
        </w:rPr>
        <w:t>pollutants for which the Agency has published §304(a) criteria. In addition to narrative and numeric (chemical-specific) criteria, other types of water quality criteria include:</w:t>
      </w:r>
    </w:p>
    <w:p w14:paraId="5B7EB2CE" w14:textId="12987A53" w:rsidR="008A388C" w:rsidRDefault="008A388C" w:rsidP="00783E18">
      <w:pPr>
        <w:numPr>
          <w:ilvl w:val="0"/>
          <w:numId w:val="20"/>
        </w:numPr>
        <w:spacing w:after="120"/>
        <w:jc w:val="both"/>
        <w:rPr>
          <w:color w:val="000000"/>
        </w:rPr>
      </w:pPr>
      <w:r>
        <w:rPr>
          <w:u w:val="single"/>
        </w:rPr>
        <w:t>Biological criteria</w:t>
      </w:r>
      <w:r>
        <w:rPr>
          <w:color w:val="000000"/>
        </w:rPr>
        <w:t xml:space="preserve">: a description of the desired biological condition of the aquatic community, for </w:t>
      </w:r>
      <w:r w:rsidR="006C7FF4">
        <w:rPr>
          <w:color w:val="000000"/>
        </w:rPr>
        <w:t>example</w:t>
      </w:r>
      <w:r>
        <w:rPr>
          <w:color w:val="000000"/>
        </w:rPr>
        <w:t xml:space="preserve">, based on the numbers and kinds of organisms </w:t>
      </w:r>
      <w:r w:rsidR="006C7FF4">
        <w:rPr>
          <w:color w:val="000000"/>
        </w:rPr>
        <w:t xml:space="preserve">expected </w:t>
      </w:r>
      <w:r>
        <w:rPr>
          <w:color w:val="000000"/>
        </w:rPr>
        <w:t>to be present in a water body.</w:t>
      </w:r>
    </w:p>
    <w:p w14:paraId="269E5EEE" w14:textId="77777777" w:rsidR="008A388C" w:rsidRDefault="008A388C" w:rsidP="00783E18">
      <w:pPr>
        <w:numPr>
          <w:ilvl w:val="0"/>
          <w:numId w:val="20"/>
        </w:numPr>
        <w:spacing w:after="120"/>
        <w:jc w:val="both"/>
        <w:rPr>
          <w:color w:val="000000"/>
        </w:rPr>
      </w:pPr>
      <w:r>
        <w:rPr>
          <w:u w:val="single"/>
        </w:rPr>
        <w:t>Nutrient criteria</w:t>
      </w:r>
      <w:r>
        <w:rPr>
          <w:color w:val="000000"/>
        </w:rPr>
        <w:t>: a means to protect against nutrient over-enrichment and cultural eutrophication.</w:t>
      </w:r>
    </w:p>
    <w:p w14:paraId="24AC9EFD" w14:textId="77777777" w:rsidR="008A388C" w:rsidRDefault="008A388C" w:rsidP="00783E18">
      <w:pPr>
        <w:numPr>
          <w:ilvl w:val="0"/>
          <w:numId w:val="20"/>
        </w:numPr>
        <w:jc w:val="both"/>
        <w:rPr>
          <w:color w:val="000000"/>
        </w:rPr>
      </w:pPr>
      <w:r>
        <w:rPr>
          <w:color w:val="000000"/>
          <w:u w:val="single"/>
        </w:rPr>
        <w:t>Sediment criteria</w:t>
      </w:r>
      <w:r>
        <w:rPr>
          <w:color w:val="000000"/>
        </w:rPr>
        <w:t xml:space="preserve">: a description of conditions that will avoid adverse effects of </w:t>
      </w:r>
      <w:r>
        <w:t xml:space="preserve">contaminated </w:t>
      </w:r>
      <w:r>
        <w:rPr>
          <w:color w:val="000000"/>
        </w:rPr>
        <w:t>and uncontaminated sediments.</w:t>
      </w:r>
    </w:p>
    <w:p w14:paraId="0D5C112D" w14:textId="77777777" w:rsidR="008A388C" w:rsidRDefault="008A388C" w:rsidP="008A388C">
      <w:pPr>
        <w:pBdr>
          <w:top w:val="nil"/>
          <w:left w:val="nil"/>
          <w:bottom w:val="nil"/>
          <w:right w:val="nil"/>
          <w:between w:val="nil"/>
        </w:pBdr>
        <w:spacing w:after="0" w:line="240" w:lineRule="auto"/>
        <w:jc w:val="both"/>
        <w:rPr>
          <w:rFonts w:ascii="Arial" w:eastAsia="Arial" w:hAnsi="Arial" w:cs="Arial"/>
          <w:color w:val="000000"/>
          <w:sz w:val="12"/>
          <w:szCs w:val="12"/>
        </w:rPr>
      </w:pPr>
    </w:p>
    <w:p w14:paraId="200BA6D8" w14:textId="77777777" w:rsidR="008A388C" w:rsidRDefault="008A388C" w:rsidP="008A388C">
      <w:pPr>
        <w:jc w:val="both"/>
        <w:rPr>
          <w:color w:val="000000"/>
        </w:rPr>
      </w:pPr>
      <w:r>
        <w:rPr>
          <w:b/>
          <w:i/>
          <w:color w:val="000000"/>
          <w:u w:val="single"/>
        </w:rPr>
        <w:t xml:space="preserve">Water Quality Objectives: </w:t>
      </w:r>
      <w:r>
        <w:rPr>
          <w:color w:val="000000"/>
        </w:rPr>
        <w:t xml:space="preserve">The Water Code (Porter-Cologne Act) provides that each Regional Water Quality Control Board shall establish water quality objectives for the waters of the state i.e., (ground and surface waters) which, in the Regional Board's judgment, are necessary for the reasonable protection of beneficial uses and for the prevention of nuisance. The State of California typically adopts both </w:t>
      </w:r>
      <w:r>
        <w:rPr>
          <w:b/>
          <w:color w:val="000000"/>
        </w:rPr>
        <w:t>numeric</w:t>
      </w:r>
      <w:r>
        <w:rPr>
          <w:color w:val="000000"/>
        </w:rPr>
        <w:t xml:space="preserve"> and </w:t>
      </w:r>
      <w:r>
        <w:rPr>
          <w:b/>
          <w:color w:val="000000"/>
        </w:rPr>
        <w:t>narrative</w:t>
      </w:r>
      <w:r>
        <w:rPr>
          <w:color w:val="000000"/>
        </w:rPr>
        <w:t xml:space="preserve"> objectives. </w:t>
      </w:r>
      <w:r>
        <w:rPr>
          <w:b/>
          <w:color w:val="000000"/>
        </w:rPr>
        <w:t>Numeric</w:t>
      </w:r>
      <w:r>
        <w:rPr>
          <w:color w:val="000000"/>
        </w:rPr>
        <w:t xml:space="preserve"> objectives are quantitative. </w:t>
      </w:r>
      <w:r>
        <w:rPr>
          <w:b/>
          <w:color w:val="000000"/>
        </w:rPr>
        <w:t>Narrative</w:t>
      </w:r>
      <w:r>
        <w:rPr>
          <w:color w:val="000000"/>
        </w:rPr>
        <w:t xml:space="preserve"> objectives present general descriptions of water quality that must be attained through pollutant control measures. Narrative objectives are also often a basis for the development of numerical objectives. </w:t>
      </w:r>
    </w:p>
    <w:p w14:paraId="7A0C687C" w14:textId="7E997C25" w:rsidR="008A388C" w:rsidRDefault="008A388C" w:rsidP="008A388C">
      <w:pPr>
        <w:spacing w:after="0"/>
        <w:jc w:val="both"/>
      </w:pPr>
      <w:r>
        <w:rPr>
          <w:b/>
          <w:i/>
          <w:u w:val="single"/>
        </w:rPr>
        <w:t xml:space="preserve">Numeric Assessment Endpoint: </w:t>
      </w:r>
      <w:r>
        <w:t xml:space="preserve">Within the </w:t>
      </w:r>
      <w:r w:rsidR="006C7FF4">
        <w:t xml:space="preserve">context </w:t>
      </w:r>
      <w:r>
        <w:t xml:space="preserve">of the NNE framework, numeric endpoints are thresholds that define the magnitude of a response indicator that is considered protective of ecological health. These numeric endpoints serve as guidance to Regional Boards in translating narrative nutrient or biostimulatory substance water quality objectives. They are called “numeric endpoints” rather than “numeric objectives” to distinguish the difference with respect to SWRCB policy. Objectives are promulgated through a public process and incorporated into basin plans. Numeric endpoints are guidance that can evolve over time without the need to go through a formal standards development process. </w:t>
      </w:r>
    </w:p>
    <w:p w14:paraId="491149D8" w14:textId="77777777" w:rsidR="008A388C" w:rsidRDefault="008A388C" w:rsidP="008A388C">
      <w:pPr>
        <w:spacing w:after="0"/>
        <w:jc w:val="both"/>
      </w:pPr>
    </w:p>
    <w:p w14:paraId="374AB36B" w14:textId="77777777" w:rsidR="008A388C" w:rsidRDefault="008A388C" w:rsidP="008A388C">
      <w:pPr>
        <w:spacing w:after="0"/>
        <w:jc w:val="both"/>
      </w:pPr>
      <w:r>
        <w:t xml:space="preserve">Biostimulatory Target: </w:t>
      </w:r>
    </w:p>
    <w:p w14:paraId="47D1E271" w14:textId="77777777" w:rsidR="008A388C" w:rsidRDefault="008A388C" w:rsidP="008A388C">
      <w:pPr>
        <w:pBdr>
          <w:top w:val="nil"/>
          <w:left w:val="nil"/>
          <w:bottom w:val="nil"/>
          <w:right w:val="nil"/>
          <w:between w:val="nil"/>
        </w:pBdr>
        <w:tabs>
          <w:tab w:val="left" w:pos="450"/>
          <w:tab w:val="right" w:pos="9350"/>
        </w:tabs>
        <w:spacing w:after="120" w:line="240" w:lineRule="auto"/>
        <w:jc w:val="both"/>
        <w:rPr>
          <w:rFonts w:ascii="Arial" w:eastAsia="Arial" w:hAnsi="Arial" w:cs="Arial"/>
          <w:b/>
          <w:color w:val="000000"/>
          <w:sz w:val="20"/>
          <w:szCs w:val="20"/>
        </w:rPr>
      </w:pPr>
      <w:bookmarkStart w:id="144" w:name="_28h4qwu" w:colFirst="0" w:colLast="0"/>
      <w:bookmarkEnd w:id="144"/>
    </w:p>
    <w:p w14:paraId="59E8E955" w14:textId="77777777" w:rsidR="008A388C" w:rsidRDefault="008A388C" w:rsidP="008A388C">
      <w:pPr>
        <w:pStyle w:val="Heading1"/>
      </w:pPr>
    </w:p>
    <w:p w14:paraId="5CEACBDD" w14:textId="45EA46FB" w:rsidR="00170017" w:rsidRPr="008A388C" w:rsidRDefault="00170017" w:rsidP="008A388C"/>
    <w:sectPr w:rsidR="00170017" w:rsidRPr="008A388C" w:rsidSect="00E92A31">
      <w:headerReference w:type="even" r:id="rId185"/>
      <w:headerReference w:type="default" r:id="rId186"/>
      <w:footerReference w:type="default" r:id="rId187"/>
      <w:headerReference w:type="first" r:id="rId188"/>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A9737B9" w14:textId="77777777" w:rsidR="00500768" w:rsidRDefault="00500768" w:rsidP="00644D68">
      <w:r>
        <w:separator/>
      </w:r>
    </w:p>
  </w:endnote>
  <w:endnote w:type="continuationSeparator" w:id="0">
    <w:p w14:paraId="0710CC4B" w14:textId="77777777" w:rsidR="00500768" w:rsidRDefault="00500768" w:rsidP="00644D68">
      <w:r>
        <w:continuationSeparator/>
      </w:r>
    </w:p>
  </w:endnote>
  <w:endnote w:type="continuationNotice" w:id="1">
    <w:p w14:paraId="25A619A2" w14:textId="77777777" w:rsidR="00500768" w:rsidRDefault="00500768">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Calibri"/>
    <w:charset w:val="00"/>
    <w:family w:val="auto"/>
    <w:pitch w:val="default"/>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43" w:usb2="00000009" w:usb3="00000000" w:csb0="000001FF" w:csb1="00000000"/>
  </w:font>
  <w:font w:name="Arial (W1)">
    <w:altName w:val="Arial"/>
    <w:charset w:val="00"/>
    <w:family w:val="swiss"/>
    <w:pitch w:val="variable"/>
    <w:sig w:usb0="E0002AFF" w:usb1="C0007843" w:usb2="00000009" w:usb3="00000000" w:csb0="000001FF" w:csb1="00000000"/>
  </w:font>
  <w:font w:name="Consolas">
    <w:panose1 w:val="020B0609020204030204"/>
    <w:charset w:val="00"/>
    <w:family w:val="modern"/>
    <w:pitch w:val="fixed"/>
    <w:sig w:usb0="E00006FF" w:usb1="0000FCFF" w:usb2="00000001" w:usb3="00000000" w:csb0="0000019F" w:csb1="00000000"/>
  </w:font>
  <w:font w:name="Verdana">
    <w:panose1 w:val="020B0604030504040204"/>
    <w:charset w:val="00"/>
    <w:family w:val="swiss"/>
    <w:pitch w:val="variable"/>
    <w:sig w:usb0="A00006FF" w:usb1="4000205B" w:usb2="0000001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 w:name="Times New (W1)">
    <w:altName w:val="Times New Roman"/>
    <w:charset w:val="00"/>
    <w:family w:val="roman"/>
    <w:pitch w:val="variable"/>
    <w:sig w:usb0="00000000" w:usb1="C0007841"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CG Times">
    <w:altName w:val="Times New Roman"/>
    <w:panose1 w:val="00000000000000000000"/>
    <w:charset w:val="00"/>
    <w:family w:val="roman"/>
    <w:notTrueType/>
    <w:pitch w:val="variable"/>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Helvetica">
    <w:panose1 w:val="020B0604020202020204"/>
    <w:charset w:val="00"/>
    <w:family w:val="swiss"/>
    <w:pitch w:val="variable"/>
    <w:sig w:usb0="E0002EFF" w:usb1="C000785B" w:usb2="00000009" w:usb3="00000000" w:csb0="000001FF" w:csb1="00000000"/>
  </w:font>
  <w:font w:name="DengXian Light">
    <w:charset w:val="86"/>
    <w:family w:val="auto"/>
    <w:pitch w:val="variable"/>
    <w:sig w:usb0="A00002BF" w:usb1="38CF7CFA" w:usb2="00000016" w:usb3="00000000" w:csb0="0004000F" w:csb1="00000000"/>
  </w:font>
  <w:font w:name="DengXian">
    <w:altName w:val="等线"/>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0B58297" w14:textId="77777777" w:rsidR="004C7895" w:rsidRDefault="004C7895">
    <w:pPr>
      <w:pBdr>
        <w:top w:val="nil"/>
        <w:left w:val="nil"/>
        <w:bottom w:val="nil"/>
        <w:right w:val="nil"/>
        <w:between w:val="nil"/>
      </w:pBdr>
      <w:tabs>
        <w:tab w:val="center" w:pos="4680"/>
        <w:tab w:val="right" w:pos="9360"/>
      </w:tabs>
      <w:spacing w:after="0" w:line="240" w:lineRule="auto"/>
      <w:jc w:val="center"/>
      <w:rPr>
        <w:color w:val="000000"/>
      </w:rPr>
    </w:pPr>
    <w:r>
      <w:rPr>
        <w:color w:val="000000"/>
      </w:rPr>
      <w:fldChar w:fldCharType="begin"/>
    </w:r>
    <w:r>
      <w:rPr>
        <w:color w:val="000000"/>
      </w:rPr>
      <w:instrText>PAGE</w:instrText>
    </w:r>
    <w:r>
      <w:rPr>
        <w:color w:val="000000"/>
      </w:rPr>
      <w:fldChar w:fldCharType="separate"/>
    </w:r>
    <w:r>
      <w:rPr>
        <w:noProof/>
        <w:color w:val="000000"/>
      </w:rPr>
      <w:t>40</w:t>
    </w:r>
    <w:r>
      <w:rPr>
        <w:color w:val="000000"/>
      </w:rPr>
      <w:fldChar w:fldCharType="end"/>
    </w:r>
  </w:p>
  <w:p w14:paraId="2E5FB4FF" w14:textId="77777777" w:rsidR="004C7895" w:rsidRDefault="004C7895">
    <w:pPr>
      <w:pBdr>
        <w:top w:val="nil"/>
        <w:left w:val="nil"/>
        <w:bottom w:val="nil"/>
        <w:right w:val="nil"/>
        <w:between w:val="nil"/>
      </w:pBdr>
      <w:tabs>
        <w:tab w:val="center" w:pos="4680"/>
        <w:tab w:val="right" w:pos="9360"/>
      </w:tabs>
      <w:spacing w:after="0" w:line="240" w:lineRule="auto"/>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0F461BF" w14:textId="27D4A008" w:rsidR="004C7895" w:rsidRDefault="004C7895">
    <w:pPr>
      <w:pStyle w:val="Footer"/>
      <w:jc w:val="center"/>
    </w:pPr>
    <w:r>
      <w:fldChar w:fldCharType="begin"/>
    </w:r>
    <w:r>
      <w:instrText xml:space="preserve"> PAGE   \* MERGEFORMAT </w:instrText>
    </w:r>
    <w:r>
      <w:fldChar w:fldCharType="separate"/>
    </w:r>
    <w:r>
      <w:rPr>
        <w:noProof/>
      </w:rPr>
      <w:t>45</w:t>
    </w:r>
    <w:r>
      <w:rPr>
        <w:noProof/>
      </w:rPr>
      <w:fldChar w:fldCharType="end"/>
    </w:r>
  </w:p>
  <w:p w14:paraId="0A56A2AD" w14:textId="77777777" w:rsidR="004C7895" w:rsidRPr="00C94B8D" w:rsidRDefault="004C7895" w:rsidP="00C94B8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838D6E4" w14:textId="77777777" w:rsidR="00500768" w:rsidRDefault="00500768" w:rsidP="00644D68">
      <w:r>
        <w:separator/>
      </w:r>
    </w:p>
  </w:footnote>
  <w:footnote w:type="continuationSeparator" w:id="0">
    <w:p w14:paraId="5E1CE180" w14:textId="77777777" w:rsidR="00500768" w:rsidRDefault="00500768" w:rsidP="00644D68">
      <w:r>
        <w:continuationSeparator/>
      </w:r>
    </w:p>
  </w:footnote>
  <w:footnote w:type="continuationNotice" w:id="1">
    <w:p w14:paraId="51AA133E" w14:textId="77777777" w:rsidR="00500768" w:rsidRDefault="00500768">
      <w:pPr>
        <w:spacing w:after="0" w:line="240" w:lineRule="auto"/>
      </w:pPr>
    </w:p>
  </w:footnote>
  <w:footnote w:id="2">
    <w:p w14:paraId="1956B606" w14:textId="77777777" w:rsidR="004C7895" w:rsidRPr="00B27A90" w:rsidRDefault="004C7895" w:rsidP="008A388C">
      <w:pPr>
        <w:pBdr>
          <w:top w:val="nil"/>
          <w:left w:val="nil"/>
          <w:bottom w:val="nil"/>
          <w:right w:val="nil"/>
          <w:between w:val="nil"/>
        </w:pBdr>
        <w:spacing w:after="0" w:line="240" w:lineRule="auto"/>
        <w:rPr>
          <w:rFonts w:cs="Calibri"/>
          <w:color w:val="000000"/>
          <w:sz w:val="20"/>
          <w:szCs w:val="20"/>
        </w:rPr>
      </w:pPr>
      <w:r w:rsidRPr="00B27A90">
        <w:rPr>
          <w:vertAlign w:val="superscript"/>
        </w:rPr>
        <w:footnoteRef/>
      </w:r>
      <w:r w:rsidRPr="00B27A90">
        <w:rPr>
          <w:color w:val="000000"/>
          <w:sz w:val="20"/>
          <w:szCs w:val="20"/>
        </w:rPr>
        <w:t xml:space="preserve"> </w:t>
      </w:r>
      <w:r w:rsidRPr="00B27A90">
        <w:rPr>
          <w:rFonts w:cs="Calibri"/>
          <w:color w:val="000000"/>
          <w:sz w:val="20"/>
          <w:szCs w:val="20"/>
        </w:rPr>
        <w:t>Wetlands typically occur in topographic settings where surface and/or groundwater collects, making the area wet for extended periods of time. While definitions vary, the National Wetland Inventory emphasizes three important attributes of wetlands: (1) a period of flooding or soil saturation; (2) presence of plants adapted to grow in water or in a soil or substrate that is occasionally oxygen deficient due to saturation (hydrophytes); and (3) hydric or saturated soils for periods long enough during the growing season to produce oxygen-deficient conditions in the upper part of the soil, which commonly includes the major part of the root zone of plants (FGDC 2013).</w:t>
      </w:r>
    </w:p>
  </w:footnote>
  <w:footnote w:id="3">
    <w:p w14:paraId="2E91CC1D" w14:textId="77777777" w:rsidR="004C7895" w:rsidRPr="00D977A9" w:rsidRDefault="004C7895" w:rsidP="008A388C">
      <w:pPr>
        <w:pBdr>
          <w:top w:val="nil"/>
          <w:left w:val="nil"/>
          <w:bottom w:val="nil"/>
          <w:right w:val="nil"/>
          <w:between w:val="nil"/>
        </w:pBdr>
        <w:spacing w:after="0" w:line="240" w:lineRule="auto"/>
        <w:rPr>
          <w:rFonts w:cs="Calibri"/>
          <w:color w:val="000000"/>
          <w:sz w:val="20"/>
          <w:szCs w:val="20"/>
        </w:rPr>
      </w:pPr>
      <w:r w:rsidRPr="00B27A90">
        <w:rPr>
          <w:rFonts w:cs="Calibri"/>
          <w:sz w:val="20"/>
          <w:szCs w:val="20"/>
          <w:vertAlign w:val="superscript"/>
        </w:rPr>
        <w:footnoteRef/>
      </w:r>
      <w:r w:rsidRPr="00B27A90">
        <w:rPr>
          <w:rFonts w:cs="Calibri"/>
          <w:color w:val="000000"/>
          <w:sz w:val="20"/>
          <w:szCs w:val="20"/>
        </w:rPr>
        <w:t xml:space="preserve"> For estuaries and enclosed bays, “deepwater” refers to the elevation of extreme low water of a spring tide (MLLW). For rivers and lakes, deepwater lies at a depth of 2.5 m, roughly the limit at which emergent plants grow (FGDC 2013).</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DED94D9" w14:textId="77777777" w:rsidR="002333B2" w:rsidRPr="002333B2" w:rsidRDefault="002333B2" w:rsidP="002333B2">
    <w:pPr>
      <w:pStyle w:val="Header"/>
      <w:jc w:val="right"/>
      <w:rPr>
        <w:sz w:val="16"/>
        <w:szCs w:val="16"/>
      </w:rPr>
    </w:pPr>
  </w:p>
  <w:p w14:paraId="67FD3DBE" w14:textId="62A70EBF" w:rsidR="002333B2" w:rsidRPr="002333B2" w:rsidRDefault="002333B2" w:rsidP="002333B2">
    <w:pPr>
      <w:pStyle w:val="Header"/>
      <w:jc w:val="right"/>
      <w:rPr>
        <w:sz w:val="16"/>
        <w:szCs w:val="16"/>
      </w:rPr>
    </w:pPr>
    <w:r w:rsidRPr="002333B2">
      <w:rPr>
        <w:sz w:val="16"/>
        <w:szCs w:val="16"/>
      </w:rPr>
      <w:t>10/04/2018 Draft Version</w:t>
    </w:r>
  </w:p>
  <w:sdt>
    <w:sdtPr>
      <w:rPr>
        <w:color w:val="000000"/>
        <w:sz w:val="18"/>
        <w:szCs w:val="18"/>
      </w:rPr>
      <w:id w:val="-429593033"/>
      <w:docPartObj>
        <w:docPartGallery w:val="Watermarks"/>
        <w:docPartUnique/>
      </w:docPartObj>
    </w:sdtPr>
    <w:sdtEndPr/>
    <w:sdtContent>
      <w:p w14:paraId="2A503666" w14:textId="17214A78" w:rsidR="004C7895" w:rsidRDefault="00500768" w:rsidP="002333B2">
        <w:pPr>
          <w:pBdr>
            <w:top w:val="nil"/>
            <w:left w:val="nil"/>
            <w:bottom w:val="nil"/>
            <w:right w:val="nil"/>
            <w:between w:val="nil"/>
          </w:pBdr>
          <w:tabs>
            <w:tab w:val="center" w:pos="4680"/>
            <w:tab w:val="right" w:pos="9360"/>
          </w:tabs>
          <w:spacing w:after="0" w:line="240" w:lineRule="auto"/>
          <w:jc w:val="right"/>
          <w:rPr>
            <w:color w:val="000000"/>
          </w:rPr>
        </w:pPr>
        <w:r>
          <w:rPr>
            <w:noProof/>
            <w:color w:val="000000"/>
            <w:sz w:val="18"/>
            <w:szCs w:val="18"/>
          </w:rPr>
          <w:pict w14:anchorId="369D7C54">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49" type="#_x0000_t136" style="position:absolute;left:0;text-align:left;margin-left:0;margin-top:0;width:412.4pt;height:247.45pt;rotation:315;z-index:-251658752;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sdtContent>
  </w:sdt>
  <w:p w14:paraId="6243B3EE" w14:textId="77777777" w:rsidR="004C7895" w:rsidRDefault="004C7895">
    <w:pPr>
      <w:pBdr>
        <w:top w:val="nil"/>
        <w:left w:val="nil"/>
        <w:bottom w:val="nil"/>
        <w:right w:val="nil"/>
        <w:between w:val="nil"/>
      </w:pBdr>
      <w:tabs>
        <w:tab w:val="center" w:pos="4680"/>
        <w:tab w:val="right" w:pos="9360"/>
      </w:tabs>
      <w:spacing w:after="0" w:line="240" w:lineRule="auto"/>
      <w:rPr>
        <w:color w:val="00000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3A7F33F" w14:textId="59C7A248" w:rsidR="004C7895" w:rsidRDefault="004C7895">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8B69E72" w14:textId="5AA9917A" w:rsidR="004C7895" w:rsidRDefault="004C7895">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3A7B91A" w14:textId="4590A99C" w:rsidR="004C7895" w:rsidRDefault="004C7895">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1D"/>
    <w:multiLevelType w:val="multilevel"/>
    <w:tmpl w:val="2EF4941A"/>
    <w:lvl w:ilvl="0">
      <w:start w:val="1"/>
      <w:numFmt w:val="bullet"/>
      <w:pStyle w:val="PlaceholderText1"/>
      <w:lvlText w:val=""/>
      <w:lvlJc w:val="left"/>
      <w:pPr>
        <w:tabs>
          <w:tab w:val="num" w:pos="0"/>
        </w:tabs>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pStyle w:val="PlaceholderText1"/>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FFFFFF7C"/>
    <w:multiLevelType w:val="singleLevel"/>
    <w:tmpl w:val="1F1AB288"/>
    <w:lvl w:ilvl="0">
      <w:start w:val="1"/>
      <w:numFmt w:val="decimal"/>
      <w:pStyle w:val="ListNumber5"/>
      <w:lvlText w:val="%1."/>
      <w:lvlJc w:val="left"/>
      <w:pPr>
        <w:tabs>
          <w:tab w:val="num" w:pos="1800"/>
        </w:tabs>
        <w:ind w:left="1800" w:hanging="360"/>
      </w:pPr>
    </w:lvl>
  </w:abstractNum>
  <w:abstractNum w:abstractNumId="2" w15:restartNumberingAfterBreak="0">
    <w:nsid w:val="FFFFFF7D"/>
    <w:multiLevelType w:val="singleLevel"/>
    <w:tmpl w:val="784EDE08"/>
    <w:lvl w:ilvl="0">
      <w:start w:val="1"/>
      <w:numFmt w:val="decimal"/>
      <w:pStyle w:val="ListNumber4"/>
      <w:lvlText w:val="%1."/>
      <w:lvlJc w:val="left"/>
      <w:pPr>
        <w:tabs>
          <w:tab w:val="num" w:pos="1440"/>
        </w:tabs>
        <w:ind w:left="1440" w:hanging="360"/>
      </w:pPr>
    </w:lvl>
  </w:abstractNum>
  <w:abstractNum w:abstractNumId="3" w15:restartNumberingAfterBreak="0">
    <w:nsid w:val="FFFFFF7E"/>
    <w:multiLevelType w:val="singleLevel"/>
    <w:tmpl w:val="7C9C05F8"/>
    <w:lvl w:ilvl="0">
      <w:start w:val="1"/>
      <w:numFmt w:val="decimal"/>
      <w:pStyle w:val="ListNumber3"/>
      <w:lvlText w:val="%1."/>
      <w:lvlJc w:val="left"/>
      <w:pPr>
        <w:tabs>
          <w:tab w:val="num" w:pos="1080"/>
        </w:tabs>
        <w:ind w:left="1080" w:hanging="360"/>
      </w:pPr>
    </w:lvl>
  </w:abstractNum>
  <w:abstractNum w:abstractNumId="4" w15:restartNumberingAfterBreak="0">
    <w:nsid w:val="FFFFFF7F"/>
    <w:multiLevelType w:val="singleLevel"/>
    <w:tmpl w:val="09B01882"/>
    <w:lvl w:ilvl="0">
      <w:start w:val="1"/>
      <w:numFmt w:val="decimal"/>
      <w:pStyle w:val="ListNumber2"/>
      <w:lvlText w:val="%1."/>
      <w:lvlJc w:val="left"/>
      <w:pPr>
        <w:tabs>
          <w:tab w:val="num" w:pos="720"/>
        </w:tabs>
        <w:ind w:left="720" w:hanging="360"/>
      </w:pPr>
    </w:lvl>
  </w:abstractNum>
  <w:abstractNum w:abstractNumId="5" w15:restartNumberingAfterBreak="0">
    <w:nsid w:val="FFFFFF80"/>
    <w:multiLevelType w:val="singleLevel"/>
    <w:tmpl w:val="FA34333C"/>
    <w:lvl w:ilvl="0">
      <w:start w:val="1"/>
      <w:numFmt w:val="bullet"/>
      <w:pStyle w:val="ListBullet5"/>
      <w:lvlText w:val=""/>
      <w:lvlJc w:val="left"/>
      <w:pPr>
        <w:tabs>
          <w:tab w:val="num" w:pos="1800"/>
        </w:tabs>
        <w:ind w:left="1800" w:hanging="360"/>
      </w:pPr>
      <w:rPr>
        <w:rFonts w:ascii="Symbol" w:hAnsi="Symbol" w:hint="default"/>
      </w:rPr>
    </w:lvl>
  </w:abstractNum>
  <w:abstractNum w:abstractNumId="6" w15:restartNumberingAfterBreak="0">
    <w:nsid w:val="FFFFFF81"/>
    <w:multiLevelType w:val="singleLevel"/>
    <w:tmpl w:val="9EAC9FBC"/>
    <w:lvl w:ilvl="0">
      <w:start w:val="1"/>
      <w:numFmt w:val="bullet"/>
      <w:pStyle w:val="ListBullet4"/>
      <w:lvlText w:val=""/>
      <w:lvlJc w:val="left"/>
      <w:pPr>
        <w:tabs>
          <w:tab w:val="num" w:pos="1440"/>
        </w:tabs>
        <w:ind w:left="1440" w:hanging="360"/>
      </w:pPr>
      <w:rPr>
        <w:rFonts w:ascii="Symbol" w:hAnsi="Symbol" w:hint="default"/>
      </w:rPr>
    </w:lvl>
  </w:abstractNum>
  <w:abstractNum w:abstractNumId="7" w15:restartNumberingAfterBreak="0">
    <w:nsid w:val="FFFFFF82"/>
    <w:multiLevelType w:val="singleLevel"/>
    <w:tmpl w:val="95904A2E"/>
    <w:lvl w:ilvl="0">
      <w:start w:val="1"/>
      <w:numFmt w:val="bullet"/>
      <w:pStyle w:val="ListBullet3"/>
      <w:lvlText w:val=""/>
      <w:lvlJc w:val="left"/>
      <w:pPr>
        <w:tabs>
          <w:tab w:val="num" w:pos="1080"/>
        </w:tabs>
        <w:ind w:left="1080" w:hanging="360"/>
      </w:pPr>
      <w:rPr>
        <w:rFonts w:ascii="Symbol" w:hAnsi="Symbol" w:hint="default"/>
      </w:rPr>
    </w:lvl>
  </w:abstractNum>
  <w:abstractNum w:abstractNumId="8" w15:restartNumberingAfterBreak="0">
    <w:nsid w:val="FFFFFF83"/>
    <w:multiLevelType w:val="singleLevel"/>
    <w:tmpl w:val="15F80876"/>
    <w:lvl w:ilvl="0">
      <w:start w:val="1"/>
      <w:numFmt w:val="bullet"/>
      <w:pStyle w:val="ListBullet2"/>
      <w:lvlText w:val=""/>
      <w:lvlJc w:val="left"/>
      <w:pPr>
        <w:tabs>
          <w:tab w:val="num" w:pos="720"/>
        </w:tabs>
        <w:ind w:left="720" w:hanging="360"/>
      </w:pPr>
      <w:rPr>
        <w:rFonts w:ascii="Symbol" w:hAnsi="Symbol" w:hint="default"/>
      </w:rPr>
    </w:lvl>
  </w:abstractNum>
  <w:abstractNum w:abstractNumId="9" w15:restartNumberingAfterBreak="0">
    <w:nsid w:val="FFFFFF88"/>
    <w:multiLevelType w:val="singleLevel"/>
    <w:tmpl w:val="3CD08BF0"/>
    <w:lvl w:ilvl="0">
      <w:start w:val="1"/>
      <w:numFmt w:val="decimal"/>
      <w:pStyle w:val="ListNumber"/>
      <w:lvlText w:val="%1."/>
      <w:lvlJc w:val="left"/>
      <w:pPr>
        <w:tabs>
          <w:tab w:val="num" w:pos="360"/>
        </w:tabs>
        <w:ind w:left="360" w:hanging="360"/>
      </w:pPr>
    </w:lvl>
  </w:abstractNum>
  <w:abstractNum w:abstractNumId="10" w15:restartNumberingAfterBreak="0">
    <w:nsid w:val="FFFFFF89"/>
    <w:multiLevelType w:val="singleLevel"/>
    <w:tmpl w:val="BB2C29FC"/>
    <w:lvl w:ilvl="0">
      <w:start w:val="1"/>
      <w:numFmt w:val="bullet"/>
      <w:pStyle w:val="ListBullet"/>
      <w:lvlText w:val=""/>
      <w:lvlJc w:val="left"/>
      <w:pPr>
        <w:tabs>
          <w:tab w:val="num" w:pos="360"/>
        </w:tabs>
        <w:ind w:left="360" w:hanging="360"/>
      </w:pPr>
      <w:rPr>
        <w:rFonts w:ascii="Symbol" w:hAnsi="Symbol" w:hint="default"/>
      </w:rPr>
    </w:lvl>
  </w:abstractNum>
  <w:abstractNum w:abstractNumId="11" w15:restartNumberingAfterBreak="0">
    <w:nsid w:val="089A2C77"/>
    <w:multiLevelType w:val="multilevel"/>
    <w:tmpl w:val="3DA41A7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 w15:restartNumberingAfterBreak="0">
    <w:nsid w:val="097B6489"/>
    <w:multiLevelType w:val="hybridMultilevel"/>
    <w:tmpl w:val="76AAD3DC"/>
    <w:lvl w:ilvl="0" w:tplc="509CECF0">
      <w:start w:val="1"/>
      <w:numFmt w:val="decimal"/>
      <w:pStyle w:val="FigureTitleAppC"/>
      <w:lvlText w:val="Figure C-%1."/>
      <w:lvlJc w:val="left"/>
      <w:pPr>
        <w:tabs>
          <w:tab w:val="num" w:pos="1368"/>
        </w:tabs>
        <w:ind w:left="1368" w:hanging="1368"/>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3" w15:restartNumberingAfterBreak="0">
    <w:nsid w:val="0DB63081"/>
    <w:multiLevelType w:val="hybridMultilevel"/>
    <w:tmpl w:val="60F05790"/>
    <w:lvl w:ilvl="0" w:tplc="917E1804">
      <w:start w:val="1"/>
      <w:numFmt w:val="bullet"/>
      <w:pStyle w:val="bullet"/>
      <w:lvlText w:val=""/>
      <w:lvlJc w:val="left"/>
      <w:pPr>
        <w:ind w:left="1080" w:hanging="360"/>
      </w:pPr>
      <w:rPr>
        <w:rFonts w:ascii="Wingdings" w:hAnsi="Wingdings" w:hint="default"/>
        <w:sz w:val="28"/>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4" w15:restartNumberingAfterBreak="0">
    <w:nsid w:val="0F04465D"/>
    <w:multiLevelType w:val="singleLevel"/>
    <w:tmpl w:val="B7D4F314"/>
    <w:lvl w:ilvl="0">
      <w:start w:val="1"/>
      <w:numFmt w:val="decimal"/>
      <w:pStyle w:val="BlockText"/>
      <w:lvlText w:val="%1."/>
      <w:lvlJc w:val="left"/>
      <w:pPr>
        <w:tabs>
          <w:tab w:val="num" w:pos="360"/>
        </w:tabs>
        <w:ind w:left="360" w:hanging="360"/>
      </w:pPr>
    </w:lvl>
  </w:abstractNum>
  <w:abstractNum w:abstractNumId="15" w15:restartNumberingAfterBreak="0">
    <w:nsid w:val="11BA3102"/>
    <w:multiLevelType w:val="multilevel"/>
    <w:tmpl w:val="98AA2058"/>
    <w:lvl w:ilvl="0">
      <w:start w:val="3"/>
      <w:numFmt w:val="decimal"/>
      <w:lvlText w:val="%1."/>
      <w:lvlJc w:val="left"/>
      <w:pPr>
        <w:ind w:left="810" w:hanging="360"/>
      </w:pPr>
    </w:lvl>
    <w:lvl w:ilvl="1">
      <w:start w:val="1"/>
      <w:numFmt w:val="lowerLetter"/>
      <w:lvlText w:val="%2."/>
      <w:lvlJc w:val="left"/>
      <w:pPr>
        <w:ind w:left="540" w:hanging="360"/>
      </w:pPr>
    </w:lvl>
    <w:lvl w:ilvl="2">
      <w:start w:val="1"/>
      <w:numFmt w:val="lowerRoman"/>
      <w:lvlText w:val="%3."/>
      <w:lvlJc w:val="right"/>
      <w:pPr>
        <w:ind w:left="2250" w:hanging="180"/>
      </w:pPr>
    </w:lvl>
    <w:lvl w:ilvl="3">
      <w:start w:val="1"/>
      <w:numFmt w:val="decimal"/>
      <w:lvlText w:val="%4."/>
      <w:lvlJc w:val="left"/>
      <w:pPr>
        <w:ind w:left="2970" w:hanging="360"/>
      </w:pPr>
    </w:lvl>
    <w:lvl w:ilvl="4">
      <w:start w:val="1"/>
      <w:numFmt w:val="lowerLetter"/>
      <w:lvlText w:val="%5."/>
      <w:lvlJc w:val="left"/>
      <w:pPr>
        <w:ind w:left="3690" w:hanging="360"/>
      </w:pPr>
    </w:lvl>
    <w:lvl w:ilvl="5">
      <w:start w:val="1"/>
      <w:numFmt w:val="lowerRoman"/>
      <w:lvlText w:val="%6."/>
      <w:lvlJc w:val="right"/>
      <w:pPr>
        <w:ind w:left="4410" w:hanging="180"/>
      </w:pPr>
    </w:lvl>
    <w:lvl w:ilvl="6">
      <w:start w:val="1"/>
      <w:numFmt w:val="decimal"/>
      <w:lvlText w:val="%7."/>
      <w:lvlJc w:val="left"/>
      <w:pPr>
        <w:ind w:left="5130" w:hanging="360"/>
      </w:pPr>
    </w:lvl>
    <w:lvl w:ilvl="7">
      <w:start w:val="1"/>
      <w:numFmt w:val="lowerLetter"/>
      <w:lvlText w:val="%8."/>
      <w:lvlJc w:val="left"/>
      <w:pPr>
        <w:ind w:left="5850" w:hanging="360"/>
      </w:pPr>
    </w:lvl>
    <w:lvl w:ilvl="8">
      <w:start w:val="1"/>
      <w:numFmt w:val="lowerRoman"/>
      <w:lvlText w:val="%9."/>
      <w:lvlJc w:val="right"/>
      <w:pPr>
        <w:ind w:left="6570" w:hanging="180"/>
      </w:pPr>
    </w:lvl>
  </w:abstractNum>
  <w:abstractNum w:abstractNumId="16" w15:restartNumberingAfterBreak="0">
    <w:nsid w:val="149847BE"/>
    <w:multiLevelType w:val="multilevel"/>
    <w:tmpl w:val="FC76E682"/>
    <w:lvl w:ilvl="0">
      <w:start w:val="4"/>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 w15:restartNumberingAfterBreak="0">
    <w:nsid w:val="19D64FE2"/>
    <w:multiLevelType w:val="multilevel"/>
    <w:tmpl w:val="BCEE8766"/>
    <w:lvl w:ilvl="0">
      <w:start w:val="1"/>
      <w:numFmt w:val="decimal"/>
      <w:lvlText w:val="%1."/>
      <w:lvlJc w:val="left"/>
      <w:pPr>
        <w:ind w:left="810" w:hanging="360"/>
      </w:pPr>
    </w:lvl>
    <w:lvl w:ilvl="1">
      <w:start w:val="2"/>
      <w:numFmt w:val="decimal"/>
      <w:lvlText w:val="%1.%2"/>
      <w:lvlJc w:val="left"/>
      <w:pPr>
        <w:ind w:left="863" w:hanging="503"/>
      </w:pPr>
    </w:lvl>
    <w:lvl w:ilvl="2">
      <w:start w:val="1"/>
      <w:numFmt w:val="decimal"/>
      <w:lvlText w:val="%1.%2.%3"/>
      <w:lvlJc w:val="left"/>
      <w:pPr>
        <w:ind w:left="1080" w:hanging="720"/>
      </w:pPr>
    </w:lvl>
    <w:lvl w:ilvl="3">
      <w:start w:val="1"/>
      <w:numFmt w:val="decimal"/>
      <w:lvlText w:val="%1.%2.%3.%4"/>
      <w:lvlJc w:val="left"/>
      <w:pPr>
        <w:ind w:left="1080" w:hanging="720"/>
      </w:pPr>
    </w:lvl>
    <w:lvl w:ilvl="4">
      <w:start w:val="1"/>
      <w:numFmt w:val="decimal"/>
      <w:lvlText w:val="%1.%2.%3.%4.%5"/>
      <w:lvlJc w:val="left"/>
      <w:pPr>
        <w:ind w:left="1440" w:hanging="1080"/>
      </w:pPr>
    </w:lvl>
    <w:lvl w:ilvl="5">
      <w:start w:val="1"/>
      <w:numFmt w:val="decimal"/>
      <w:lvlText w:val="%1.%2.%3.%4.%5.%6"/>
      <w:lvlJc w:val="left"/>
      <w:pPr>
        <w:ind w:left="1440" w:hanging="1080"/>
      </w:pPr>
    </w:lvl>
    <w:lvl w:ilvl="6">
      <w:start w:val="1"/>
      <w:numFmt w:val="decimal"/>
      <w:lvlText w:val="%1.%2.%3.%4.%5.%6.%7"/>
      <w:lvlJc w:val="left"/>
      <w:pPr>
        <w:ind w:left="1800" w:hanging="1440"/>
      </w:pPr>
    </w:lvl>
    <w:lvl w:ilvl="7">
      <w:start w:val="1"/>
      <w:numFmt w:val="decimal"/>
      <w:lvlText w:val="%1.%2.%3.%4.%5.%6.%7.%8"/>
      <w:lvlJc w:val="left"/>
      <w:pPr>
        <w:ind w:left="1800" w:hanging="1440"/>
      </w:pPr>
    </w:lvl>
    <w:lvl w:ilvl="8">
      <w:start w:val="1"/>
      <w:numFmt w:val="decimal"/>
      <w:lvlText w:val="%1.%2.%3.%4.%5.%6.%7.%8.%9"/>
      <w:lvlJc w:val="left"/>
      <w:pPr>
        <w:ind w:left="1800" w:hanging="1440"/>
      </w:pPr>
    </w:lvl>
  </w:abstractNum>
  <w:abstractNum w:abstractNumId="18" w15:restartNumberingAfterBreak="0">
    <w:nsid w:val="1A212C0B"/>
    <w:multiLevelType w:val="multilevel"/>
    <w:tmpl w:val="A698B83A"/>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9" w15:restartNumberingAfterBreak="0">
    <w:nsid w:val="2811426D"/>
    <w:multiLevelType w:val="multilevel"/>
    <w:tmpl w:val="43A4761C"/>
    <w:lvl w:ilvl="0">
      <w:start w:val="1"/>
      <w:numFmt w:val="bullet"/>
      <w:lvlText w:val="●"/>
      <w:lvlJc w:val="left"/>
      <w:pPr>
        <w:ind w:left="756" w:hanging="360"/>
      </w:pPr>
      <w:rPr>
        <w:rFonts w:ascii="Noto Sans Symbols" w:eastAsia="Noto Sans Symbols" w:hAnsi="Noto Sans Symbols" w:cs="Noto Sans Symbols"/>
      </w:rPr>
    </w:lvl>
    <w:lvl w:ilvl="1">
      <w:start w:val="1"/>
      <w:numFmt w:val="bullet"/>
      <w:lvlText w:val="o"/>
      <w:lvlJc w:val="left"/>
      <w:pPr>
        <w:ind w:left="1476" w:hanging="360"/>
      </w:pPr>
      <w:rPr>
        <w:rFonts w:ascii="Courier New" w:eastAsia="Courier New" w:hAnsi="Courier New" w:cs="Courier New"/>
      </w:rPr>
    </w:lvl>
    <w:lvl w:ilvl="2">
      <w:start w:val="1"/>
      <w:numFmt w:val="bullet"/>
      <w:lvlText w:val="▪"/>
      <w:lvlJc w:val="left"/>
      <w:pPr>
        <w:ind w:left="2196" w:hanging="360"/>
      </w:pPr>
      <w:rPr>
        <w:rFonts w:ascii="Noto Sans Symbols" w:eastAsia="Noto Sans Symbols" w:hAnsi="Noto Sans Symbols" w:cs="Noto Sans Symbols"/>
      </w:rPr>
    </w:lvl>
    <w:lvl w:ilvl="3">
      <w:start w:val="1"/>
      <w:numFmt w:val="bullet"/>
      <w:lvlText w:val="●"/>
      <w:lvlJc w:val="left"/>
      <w:pPr>
        <w:ind w:left="2916" w:hanging="360"/>
      </w:pPr>
      <w:rPr>
        <w:rFonts w:ascii="Noto Sans Symbols" w:eastAsia="Noto Sans Symbols" w:hAnsi="Noto Sans Symbols" w:cs="Noto Sans Symbols"/>
      </w:rPr>
    </w:lvl>
    <w:lvl w:ilvl="4">
      <w:start w:val="1"/>
      <w:numFmt w:val="bullet"/>
      <w:lvlText w:val="o"/>
      <w:lvlJc w:val="left"/>
      <w:pPr>
        <w:ind w:left="3636" w:hanging="360"/>
      </w:pPr>
      <w:rPr>
        <w:rFonts w:ascii="Courier New" w:eastAsia="Courier New" w:hAnsi="Courier New" w:cs="Courier New"/>
      </w:rPr>
    </w:lvl>
    <w:lvl w:ilvl="5">
      <w:start w:val="1"/>
      <w:numFmt w:val="bullet"/>
      <w:lvlText w:val="▪"/>
      <w:lvlJc w:val="left"/>
      <w:pPr>
        <w:ind w:left="4356" w:hanging="360"/>
      </w:pPr>
      <w:rPr>
        <w:rFonts w:ascii="Noto Sans Symbols" w:eastAsia="Noto Sans Symbols" w:hAnsi="Noto Sans Symbols" w:cs="Noto Sans Symbols"/>
      </w:rPr>
    </w:lvl>
    <w:lvl w:ilvl="6">
      <w:start w:val="1"/>
      <w:numFmt w:val="bullet"/>
      <w:lvlText w:val="●"/>
      <w:lvlJc w:val="left"/>
      <w:pPr>
        <w:ind w:left="5076" w:hanging="360"/>
      </w:pPr>
      <w:rPr>
        <w:rFonts w:ascii="Noto Sans Symbols" w:eastAsia="Noto Sans Symbols" w:hAnsi="Noto Sans Symbols" w:cs="Noto Sans Symbols"/>
      </w:rPr>
    </w:lvl>
    <w:lvl w:ilvl="7">
      <w:start w:val="1"/>
      <w:numFmt w:val="bullet"/>
      <w:lvlText w:val="o"/>
      <w:lvlJc w:val="left"/>
      <w:pPr>
        <w:ind w:left="5796" w:hanging="360"/>
      </w:pPr>
      <w:rPr>
        <w:rFonts w:ascii="Courier New" w:eastAsia="Courier New" w:hAnsi="Courier New" w:cs="Courier New"/>
      </w:rPr>
    </w:lvl>
    <w:lvl w:ilvl="8">
      <w:start w:val="1"/>
      <w:numFmt w:val="bullet"/>
      <w:lvlText w:val="▪"/>
      <w:lvlJc w:val="left"/>
      <w:pPr>
        <w:ind w:left="6516" w:hanging="360"/>
      </w:pPr>
      <w:rPr>
        <w:rFonts w:ascii="Noto Sans Symbols" w:eastAsia="Noto Sans Symbols" w:hAnsi="Noto Sans Symbols" w:cs="Noto Sans Symbols"/>
      </w:rPr>
    </w:lvl>
  </w:abstractNum>
  <w:abstractNum w:abstractNumId="20" w15:restartNumberingAfterBreak="0">
    <w:nsid w:val="3A772123"/>
    <w:multiLevelType w:val="multilevel"/>
    <w:tmpl w:val="0A04A30E"/>
    <w:lvl w:ilvl="0">
      <w:start w:val="1"/>
      <w:numFmt w:val="decimal"/>
      <w:lvlText w:val="%1."/>
      <w:lvlJc w:val="left"/>
      <w:pPr>
        <w:ind w:left="1260" w:hanging="360"/>
      </w:pPr>
    </w:lvl>
    <w:lvl w:ilvl="1">
      <w:start w:val="1"/>
      <w:numFmt w:val="decimal"/>
      <w:lvlText w:val="%2)"/>
      <w:lvlJc w:val="left"/>
      <w:pPr>
        <w:ind w:left="1440" w:hanging="360"/>
      </w:pPr>
      <w:rPr>
        <w:rFonts w:ascii="Calibri" w:eastAsia="Calibri" w:hAnsi="Calibri" w:cs="Calibri"/>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1" w15:restartNumberingAfterBreak="0">
    <w:nsid w:val="43571022"/>
    <w:multiLevelType w:val="multilevel"/>
    <w:tmpl w:val="145C4E4C"/>
    <w:lvl w:ilvl="0">
      <w:start w:val="1"/>
      <w:numFmt w:val="decimal"/>
      <w:lvlText w:val="%1."/>
      <w:lvlJc w:val="left"/>
      <w:pPr>
        <w:ind w:left="720" w:hanging="360"/>
      </w:pPr>
    </w:lvl>
    <w:lvl w:ilvl="1">
      <w:start w:val="1"/>
      <w:numFmt w:val="decimal"/>
      <w:lvlText w:val="%2)"/>
      <w:lvlJc w:val="left"/>
      <w:pPr>
        <w:ind w:left="1440" w:hanging="360"/>
      </w:pPr>
    </w:lvl>
    <w:lvl w:ilvl="2">
      <w:start w:val="40"/>
      <w:numFmt w:val="bullet"/>
      <w:lvlText w:val="➢"/>
      <w:lvlJc w:val="left"/>
      <w:pPr>
        <w:ind w:left="2160" w:hanging="360"/>
      </w:pPr>
      <w:rPr>
        <w:rFonts w:ascii="Noto Sans Symbols" w:eastAsia="Noto Sans Symbols" w:hAnsi="Noto Sans Symbols" w:cs="Noto Sans Symbols"/>
      </w:r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22" w15:restartNumberingAfterBreak="0">
    <w:nsid w:val="4CF765BF"/>
    <w:multiLevelType w:val="singleLevel"/>
    <w:tmpl w:val="3F7E5096"/>
    <w:lvl w:ilvl="0">
      <w:start w:val="1"/>
      <w:numFmt w:val="bullet"/>
      <w:pStyle w:val="Index2"/>
      <w:lvlText w:val=""/>
      <w:lvlJc w:val="left"/>
      <w:pPr>
        <w:tabs>
          <w:tab w:val="num" w:pos="360"/>
        </w:tabs>
        <w:ind w:left="360" w:hanging="360"/>
      </w:pPr>
      <w:rPr>
        <w:rFonts w:ascii="Wingdings" w:hAnsi="Wingdings" w:hint="default"/>
      </w:rPr>
    </w:lvl>
  </w:abstractNum>
  <w:abstractNum w:abstractNumId="23" w15:restartNumberingAfterBreak="0">
    <w:nsid w:val="66A177C9"/>
    <w:multiLevelType w:val="multilevel"/>
    <w:tmpl w:val="76C8776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4" w15:restartNumberingAfterBreak="0">
    <w:nsid w:val="7E3A4D6C"/>
    <w:multiLevelType w:val="multilevel"/>
    <w:tmpl w:val="CFA8D9F4"/>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abstractNumId w:val="0"/>
  </w:num>
  <w:num w:numId="2">
    <w:abstractNumId w:val="14"/>
  </w:num>
  <w:num w:numId="3">
    <w:abstractNumId w:val="22"/>
  </w:num>
  <w:num w:numId="4">
    <w:abstractNumId w:val="10"/>
  </w:num>
  <w:num w:numId="5">
    <w:abstractNumId w:val="8"/>
  </w:num>
  <w:num w:numId="6">
    <w:abstractNumId w:val="7"/>
  </w:num>
  <w:num w:numId="7">
    <w:abstractNumId w:val="6"/>
  </w:num>
  <w:num w:numId="8">
    <w:abstractNumId w:val="5"/>
  </w:num>
  <w:num w:numId="9">
    <w:abstractNumId w:val="9"/>
  </w:num>
  <w:num w:numId="10">
    <w:abstractNumId w:val="4"/>
  </w:num>
  <w:num w:numId="11">
    <w:abstractNumId w:val="3"/>
  </w:num>
  <w:num w:numId="12">
    <w:abstractNumId w:val="2"/>
  </w:num>
  <w:num w:numId="13">
    <w:abstractNumId w:val="1"/>
  </w:num>
  <w:num w:numId="14">
    <w:abstractNumId w:val="13"/>
  </w:num>
  <w:num w:numId="15">
    <w:abstractNumId w:val="12"/>
  </w:num>
  <w:num w:numId="16">
    <w:abstractNumId w:val="16"/>
  </w:num>
  <w:num w:numId="17">
    <w:abstractNumId w:val="21"/>
  </w:num>
  <w:num w:numId="18">
    <w:abstractNumId w:val="18"/>
  </w:num>
  <w:num w:numId="19">
    <w:abstractNumId w:val="17"/>
  </w:num>
  <w:num w:numId="20">
    <w:abstractNumId w:val="23"/>
  </w:num>
  <w:num w:numId="21">
    <w:abstractNumId w:val="11"/>
  </w:num>
  <w:num w:numId="22">
    <w:abstractNumId w:val="15"/>
  </w:num>
  <w:num w:numId="23">
    <w:abstractNumId w:val="19"/>
  </w:num>
  <w:num w:numId="24">
    <w:abstractNumId w:val="20"/>
  </w:num>
  <w:num w:numId="25">
    <w:abstractNumId w:val="24"/>
  </w:num>
  <w:numIdMacAtCleanup w:val="2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isplayBackgroundShape/>
  <w:hideSpellingErrors/>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720"/>
  <w:drawingGridHorizontalSpacing w:val="110"/>
  <w:displayHorizontalDrawingGridEvery w:val="2"/>
  <w:characterSpacingControl w:val="doNotCompress"/>
  <w:hdrShapeDefaults>
    <o:shapedefaults v:ext="edit" spidmax="2050"/>
    <o:shapelayout v:ext="edit">
      <o:idmap v:ext="edit" data="2"/>
    </o:shapelayout>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1&lt;/ScanUnformatted&gt;&lt;ScanChanges&gt;1&lt;/ScanChanges&gt;&lt;Suspended&gt;1&lt;/Suspended&gt;&lt;/ENInstantFormat&gt;"/>
    <w:docVar w:name="EN.Layout" w:val="T"/>
    <w:docVar w:name="EN.Libraries" w:val="&lt;Libraries&gt;&lt;/Libraries&gt;"/>
  </w:docVars>
  <w:rsids>
    <w:rsidRoot w:val="00552FAC"/>
    <w:rsid w:val="00000776"/>
    <w:rsid w:val="00000A18"/>
    <w:rsid w:val="00002F8A"/>
    <w:rsid w:val="00003239"/>
    <w:rsid w:val="000036C2"/>
    <w:rsid w:val="00003C03"/>
    <w:rsid w:val="00005EEF"/>
    <w:rsid w:val="00010343"/>
    <w:rsid w:val="00010758"/>
    <w:rsid w:val="000124C2"/>
    <w:rsid w:val="00012D9B"/>
    <w:rsid w:val="00013603"/>
    <w:rsid w:val="000139A5"/>
    <w:rsid w:val="00013F10"/>
    <w:rsid w:val="000144D1"/>
    <w:rsid w:val="000144E7"/>
    <w:rsid w:val="00014B1E"/>
    <w:rsid w:val="00014E7A"/>
    <w:rsid w:val="00015258"/>
    <w:rsid w:val="000159BF"/>
    <w:rsid w:val="00015A14"/>
    <w:rsid w:val="00016FBD"/>
    <w:rsid w:val="000178E3"/>
    <w:rsid w:val="00020441"/>
    <w:rsid w:val="0002092A"/>
    <w:rsid w:val="00020F32"/>
    <w:rsid w:val="000214A7"/>
    <w:rsid w:val="00021559"/>
    <w:rsid w:val="00022044"/>
    <w:rsid w:val="00022358"/>
    <w:rsid w:val="0002257F"/>
    <w:rsid w:val="00022C71"/>
    <w:rsid w:val="00025ECA"/>
    <w:rsid w:val="000272C7"/>
    <w:rsid w:val="0003026E"/>
    <w:rsid w:val="000318A9"/>
    <w:rsid w:val="00031B9A"/>
    <w:rsid w:val="0003348D"/>
    <w:rsid w:val="000336CE"/>
    <w:rsid w:val="00034501"/>
    <w:rsid w:val="00035235"/>
    <w:rsid w:val="00035860"/>
    <w:rsid w:val="00035BBA"/>
    <w:rsid w:val="00036AA8"/>
    <w:rsid w:val="00037A0D"/>
    <w:rsid w:val="00037A14"/>
    <w:rsid w:val="0004046F"/>
    <w:rsid w:val="000405CB"/>
    <w:rsid w:val="0004114A"/>
    <w:rsid w:val="0004144F"/>
    <w:rsid w:val="000419E6"/>
    <w:rsid w:val="00041BDC"/>
    <w:rsid w:val="00043135"/>
    <w:rsid w:val="000434B3"/>
    <w:rsid w:val="0004434E"/>
    <w:rsid w:val="00044385"/>
    <w:rsid w:val="00044F5B"/>
    <w:rsid w:val="00047743"/>
    <w:rsid w:val="00050269"/>
    <w:rsid w:val="000502C8"/>
    <w:rsid w:val="0005172D"/>
    <w:rsid w:val="0005172F"/>
    <w:rsid w:val="00051DF2"/>
    <w:rsid w:val="00052144"/>
    <w:rsid w:val="00052615"/>
    <w:rsid w:val="00053F0C"/>
    <w:rsid w:val="00053FD9"/>
    <w:rsid w:val="000563DB"/>
    <w:rsid w:val="00057A60"/>
    <w:rsid w:val="0006058B"/>
    <w:rsid w:val="00061182"/>
    <w:rsid w:val="00061277"/>
    <w:rsid w:val="00061442"/>
    <w:rsid w:val="00062911"/>
    <w:rsid w:val="00062914"/>
    <w:rsid w:val="00063AF0"/>
    <w:rsid w:val="00065700"/>
    <w:rsid w:val="0006655E"/>
    <w:rsid w:val="00066E4A"/>
    <w:rsid w:val="00066FBF"/>
    <w:rsid w:val="0006787A"/>
    <w:rsid w:val="00067C34"/>
    <w:rsid w:val="00067C8E"/>
    <w:rsid w:val="00070310"/>
    <w:rsid w:val="00070CEB"/>
    <w:rsid w:val="0007137F"/>
    <w:rsid w:val="0007283F"/>
    <w:rsid w:val="00072A5A"/>
    <w:rsid w:val="00074726"/>
    <w:rsid w:val="00074DB4"/>
    <w:rsid w:val="00077E49"/>
    <w:rsid w:val="00080214"/>
    <w:rsid w:val="00080379"/>
    <w:rsid w:val="00080680"/>
    <w:rsid w:val="00081334"/>
    <w:rsid w:val="00081976"/>
    <w:rsid w:val="00081A8D"/>
    <w:rsid w:val="00082AB9"/>
    <w:rsid w:val="00082B0F"/>
    <w:rsid w:val="000830B5"/>
    <w:rsid w:val="000837CF"/>
    <w:rsid w:val="00084319"/>
    <w:rsid w:val="000843A8"/>
    <w:rsid w:val="00084711"/>
    <w:rsid w:val="00085743"/>
    <w:rsid w:val="00086247"/>
    <w:rsid w:val="0008739C"/>
    <w:rsid w:val="0008772D"/>
    <w:rsid w:val="00087AFF"/>
    <w:rsid w:val="00090B84"/>
    <w:rsid w:val="00091481"/>
    <w:rsid w:val="00091C01"/>
    <w:rsid w:val="00091FCF"/>
    <w:rsid w:val="00092B47"/>
    <w:rsid w:val="000931E4"/>
    <w:rsid w:val="00093419"/>
    <w:rsid w:val="000940A7"/>
    <w:rsid w:val="00095318"/>
    <w:rsid w:val="000961E2"/>
    <w:rsid w:val="00096997"/>
    <w:rsid w:val="00096C9C"/>
    <w:rsid w:val="000A0D65"/>
    <w:rsid w:val="000A1C49"/>
    <w:rsid w:val="000A30DE"/>
    <w:rsid w:val="000A3833"/>
    <w:rsid w:val="000A44E9"/>
    <w:rsid w:val="000A486C"/>
    <w:rsid w:val="000A50DF"/>
    <w:rsid w:val="000A5EDD"/>
    <w:rsid w:val="000A68CB"/>
    <w:rsid w:val="000A6960"/>
    <w:rsid w:val="000A6ED1"/>
    <w:rsid w:val="000B0752"/>
    <w:rsid w:val="000B1F7D"/>
    <w:rsid w:val="000B214D"/>
    <w:rsid w:val="000B2675"/>
    <w:rsid w:val="000B26C6"/>
    <w:rsid w:val="000B2BF6"/>
    <w:rsid w:val="000B3842"/>
    <w:rsid w:val="000B40FD"/>
    <w:rsid w:val="000B5E0D"/>
    <w:rsid w:val="000B6414"/>
    <w:rsid w:val="000B64B5"/>
    <w:rsid w:val="000B7966"/>
    <w:rsid w:val="000B7EC7"/>
    <w:rsid w:val="000C0514"/>
    <w:rsid w:val="000C0CA5"/>
    <w:rsid w:val="000C1017"/>
    <w:rsid w:val="000C1233"/>
    <w:rsid w:val="000C20A3"/>
    <w:rsid w:val="000C312A"/>
    <w:rsid w:val="000C3765"/>
    <w:rsid w:val="000C3979"/>
    <w:rsid w:val="000C40B1"/>
    <w:rsid w:val="000C41A7"/>
    <w:rsid w:val="000C471A"/>
    <w:rsid w:val="000C47CE"/>
    <w:rsid w:val="000C5B02"/>
    <w:rsid w:val="000C6122"/>
    <w:rsid w:val="000C6876"/>
    <w:rsid w:val="000C6D2C"/>
    <w:rsid w:val="000C7A5A"/>
    <w:rsid w:val="000D146B"/>
    <w:rsid w:val="000D1AA1"/>
    <w:rsid w:val="000D1D03"/>
    <w:rsid w:val="000D219E"/>
    <w:rsid w:val="000D286C"/>
    <w:rsid w:val="000D29EC"/>
    <w:rsid w:val="000D33FA"/>
    <w:rsid w:val="000D34A7"/>
    <w:rsid w:val="000D3579"/>
    <w:rsid w:val="000D42E4"/>
    <w:rsid w:val="000D547E"/>
    <w:rsid w:val="000D57BB"/>
    <w:rsid w:val="000D6316"/>
    <w:rsid w:val="000D760E"/>
    <w:rsid w:val="000E007A"/>
    <w:rsid w:val="000E127E"/>
    <w:rsid w:val="000E4C76"/>
    <w:rsid w:val="000E5087"/>
    <w:rsid w:val="000E5CD2"/>
    <w:rsid w:val="000F1543"/>
    <w:rsid w:val="000F2DF5"/>
    <w:rsid w:val="000F35C9"/>
    <w:rsid w:val="000F5937"/>
    <w:rsid w:val="000F5994"/>
    <w:rsid w:val="000F6939"/>
    <w:rsid w:val="000F6BF9"/>
    <w:rsid w:val="00100402"/>
    <w:rsid w:val="00100867"/>
    <w:rsid w:val="00100ECA"/>
    <w:rsid w:val="001017C4"/>
    <w:rsid w:val="00101D4A"/>
    <w:rsid w:val="00101EF2"/>
    <w:rsid w:val="001020F2"/>
    <w:rsid w:val="001023A2"/>
    <w:rsid w:val="0010353D"/>
    <w:rsid w:val="00103838"/>
    <w:rsid w:val="00103AD6"/>
    <w:rsid w:val="00103ADF"/>
    <w:rsid w:val="00103CA8"/>
    <w:rsid w:val="0010512F"/>
    <w:rsid w:val="00105F95"/>
    <w:rsid w:val="0010747D"/>
    <w:rsid w:val="00110424"/>
    <w:rsid w:val="00110C2A"/>
    <w:rsid w:val="001111BF"/>
    <w:rsid w:val="00111862"/>
    <w:rsid w:val="00112584"/>
    <w:rsid w:val="001128DF"/>
    <w:rsid w:val="00113158"/>
    <w:rsid w:val="0011418D"/>
    <w:rsid w:val="00114716"/>
    <w:rsid w:val="001158DD"/>
    <w:rsid w:val="00116140"/>
    <w:rsid w:val="00116E3A"/>
    <w:rsid w:val="0011717A"/>
    <w:rsid w:val="00117515"/>
    <w:rsid w:val="0011780D"/>
    <w:rsid w:val="001202B0"/>
    <w:rsid w:val="0012037C"/>
    <w:rsid w:val="001225EF"/>
    <w:rsid w:val="00122E67"/>
    <w:rsid w:val="0012415F"/>
    <w:rsid w:val="001259EE"/>
    <w:rsid w:val="00125B89"/>
    <w:rsid w:val="00125CAE"/>
    <w:rsid w:val="00126132"/>
    <w:rsid w:val="0012624E"/>
    <w:rsid w:val="00126A2D"/>
    <w:rsid w:val="001278D6"/>
    <w:rsid w:val="00127CDA"/>
    <w:rsid w:val="00127D64"/>
    <w:rsid w:val="0013020A"/>
    <w:rsid w:val="0013070F"/>
    <w:rsid w:val="00131FAD"/>
    <w:rsid w:val="00133054"/>
    <w:rsid w:val="00134F2C"/>
    <w:rsid w:val="001355B9"/>
    <w:rsid w:val="001363BC"/>
    <w:rsid w:val="00136790"/>
    <w:rsid w:val="00136AA8"/>
    <w:rsid w:val="00136E7F"/>
    <w:rsid w:val="001371F5"/>
    <w:rsid w:val="00137962"/>
    <w:rsid w:val="00137ADE"/>
    <w:rsid w:val="0014064D"/>
    <w:rsid w:val="00140775"/>
    <w:rsid w:val="00141F66"/>
    <w:rsid w:val="00143273"/>
    <w:rsid w:val="00143CC2"/>
    <w:rsid w:val="00145619"/>
    <w:rsid w:val="00145C14"/>
    <w:rsid w:val="00145DA4"/>
    <w:rsid w:val="00146108"/>
    <w:rsid w:val="0014749D"/>
    <w:rsid w:val="0014763A"/>
    <w:rsid w:val="00147A5A"/>
    <w:rsid w:val="0015037A"/>
    <w:rsid w:val="0015037C"/>
    <w:rsid w:val="00150675"/>
    <w:rsid w:val="001512E7"/>
    <w:rsid w:val="0015164F"/>
    <w:rsid w:val="0015193B"/>
    <w:rsid w:val="00153507"/>
    <w:rsid w:val="0015351C"/>
    <w:rsid w:val="00153C53"/>
    <w:rsid w:val="00153E7C"/>
    <w:rsid w:val="00155762"/>
    <w:rsid w:val="00155A8F"/>
    <w:rsid w:val="00156227"/>
    <w:rsid w:val="00156779"/>
    <w:rsid w:val="00156AC4"/>
    <w:rsid w:val="001572AD"/>
    <w:rsid w:val="00157527"/>
    <w:rsid w:val="00157F61"/>
    <w:rsid w:val="00157F94"/>
    <w:rsid w:val="001605A0"/>
    <w:rsid w:val="0016061F"/>
    <w:rsid w:val="00160925"/>
    <w:rsid w:val="00162003"/>
    <w:rsid w:val="00162AA7"/>
    <w:rsid w:val="00163B90"/>
    <w:rsid w:val="00163C03"/>
    <w:rsid w:val="00163F71"/>
    <w:rsid w:val="00163FC6"/>
    <w:rsid w:val="00164305"/>
    <w:rsid w:val="001646DE"/>
    <w:rsid w:val="00166448"/>
    <w:rsid w:val="00166CE3"/>
    <w:rsid w:val="00167288"/>
    <w:rsid w:val="00167511"/>
    <w:rsid w:val="00170017"/>
    <w:rsid w:val="001701FE"/>
    <w:rsid w:val="00170EE7"/>
    <w:rsid w:val="001727E8"/>
    <w:rsid w:val="00173538"/>
    <w:rsid w:val="00173C81"/>
    <w:rsid w:val="00174556"/>
    <w:rsid w:val="001749F5"/>
    <w:rsid w:val="0017562A"/>
    <w:rsid w:val="00177384"/>
    <w:rsid w:val="0017774E"/>
    <w:rsid w:val="00180178"/>
    <w:rsid w:val="00180292"/>
    <w:rsid w:val="0018118D"/>
    <w:rsid w:val="00181AA3"/>
    <w:rsid w:val="00181CAA"/>
    <w:rsid w:val="001823F6"/>
    <w:rsid w:val="00183D1F"/>
    <w:rsid w:val="00184012"/>
    <w:rsid w:val="001842E2"/>
    <w:rsid w:val="00184564"/>
    <w:rsid w:val="00184690"/>
    <w:rsid w:val="00185D16"/>
    <w:rsid w:val="00186B87"/>
    <w:rsid w:val="00186B89"/>
    <w:rsid w:val="00186E1C"/>
    <w:rsid w:val="00187085"/>
    <w:rsid w:val="001871DD"/>
    <w:rsid w:val="00190F17"/>
    <w:rsid w:val="00191016"/>
    <w:rsid w:val="001913DE"/>
    <w:rsid w:val="001913E1"/>
    <w:rsid w:val="00195844"/>
    <w:rsid w:val="00196478"/>
    <w:rsid w:val="00196B2E"/>
    <w:rsid w:val="0019722F"/>
    <w:rsid w:val="0019730E"/>
    <w:rsid w:val="00197653"/>
    <w:rsid w:val="00197A56"/>
    <w:rsid w:val="00197F2F"/>
    <w:rsid w:val="001A0017"/>
    <w:rsid w:val="001A064A"/>
    <w:rsid w:val="001A102C"/>
    <w:rsid w:val="001A26ED"/>
    <w:rsid w:val="001A270E"/>
    <w:rsid w:val="001A37A6"/>
    <w:rsid w:val="001A4848"/>
    <w:rsid w:val="001A4E5C"/>
    <w:rsid w:val="001A705D"/>
    <w:rsid w:val="001B0000"/>
    <w:rsid w:val="001B0BC4"/>
    <w:rsid w:val="001B151A"/>
    <w:rsid w:val="001B2F75"/>
    <w:rsid w:val="001B3D07"/>
    <w:rsid w:val="001B4115"/>
    <w:rsid w:val="001B4CDE"/>
    <w:rsid w:val="001B4E02"/>
    <w:rsid w:val="001B51C0"/>
    <w:rsid w:val="001B533E"/>
    <w:rsid w:val="001B58A5"/>
    <w:rsid w:val="001B5DD4"/>
    <w:rsid w:val="001B65F1"/>
    <w:rsid w:val="001C0B99"/>
    <w:rsid w:val="001C1399"/>
    <w:rsid w:val="001C185F"/>
    <w:rsid w:val="001C1DC5"/>
    <w:rsid w:val="001C234B"/>
    <w:rsid w:val="001C23A0"/>
    <w:rsid w:val="001C284D"/>
    <w:rsid w:val="001C346A"/>
    <w:rsid w:val="001C3A3C"/>
    <w:rsid w:val="001C40F8"/>
    <w:rsid w:val="001C4484"/>
    <w:rsid w:val="001C4E0A"/>
    <w:rsid w:val="001C5F54"/>
    <w:rsid w:val="001C6483"/>
    <w:rsid w:val="001C79B2"/>
    <w:rsid w:val="001D0720"/>
    <w:rsid w:val="001D11C0"/>
    <w:rsid w:val="001D11E2"/>
    <w:rsid w:val="001D1605"/>
    <w:rsid w:val="001D248D"/>
    <w:rsid w:val="001D2F88"/>
    <w:rsid w:val="001D3794"/>
    <w:rsid w:val="001D3A39"/>
    <w:rsid w:val="001D3F5F"/>
    <w:rsid w:val="001D3F86"/>
    <w:rsid w:val="001D4414"/>
    <w:rsid w:val="001D4474"/>
    <w:rsid w:val="001D44D8"/>
    <w:rsid w:val="001D5A7A"/>
    <w:rsid w:val="001D5F28"/>
    <w:rsid w:val="001D74A7"/>
    <w:rsid w:val="001D767F"/>
    <w:rsid w:val="001D77E8"/>
    <w:rsid w:val="001E219C"/>
    <w:rsid w:val="001E259B"/>
    <w:rsid w:val="001E2659"/>
    <w:rsid w:val="001E2930"/>
    <w:rsid w:val="001E2CC8"/>
    <w:rsid w:val="001E2F94"/>
    <w:rsid w:val="001E33EE"/>
    <w:rsid w:val="001E3BA0"/>
    <w:rsid w:val="001E5384"/>
    <w:rsid w:val="001E5736"/>
    <w:rsid w:val="001E5BEB"/>
    <w:rsid w:val="001E6ABC"/>
    <w:rsid w:val="001E6C45"/>
    <w:rsid w:val="001E74B9"/>
    <w:rsid w:val="001E7FFB"/>
    <w:rsid w:val="001F000E"/>
    <w:rsid w:val="001F0512"/>
    <w:rsid w:val="001F07F5"/>
    <w:rsid w:val="001F0C0B"/>
    <w:rsid w:val="001F107A"/>
    <w:rsid w:val="001F1CFC"/>
    <w:rsid w:val="001F2199"/>
    <w:rsid w:val="001F3584"/>
    <w:rsid w:val="001F5323"/>
    <w:rsid w:val="001F55AC"/>
    <w:rsid w:val="001F56B9"/>
    <w:rsid w:val="001F6449"/>
    <w:rsid w:val="001F7093"/>
    <w:rsid w:val="001F746A"/>
    <w:rsid w:val="001F7927"/>
    <w:rsid w:val="00200AEF"/>
    <w:rsid w:val="0020110E"/>
    <w:rsid w:val="00204F2C"/>
    <w:rsid w:val="0020555F"/>
    <w:rsid w:val="002074CF"/>
    <w:rsid w:val="00207767"/>
    <w:rsid w:val="00207C05"/>
    <w:rsid w:val="0021149A"/>
    <w:rsid w:val="00211770"/>
    <w:rsid w:val="00211AE0"/>
    <w:rsid w:val="0021278A"/>
    <w:rsid w:val="002155A9"/>
    <w:rsid w:val="00217014"/>
    <w:rsid w:val="0021711B"/>
    <w:rsid w:val="0022122D"/>
    <w:rsid w:val="0022162D"/>
    <w:rsid w:val="0022163C"/>
    <w:rsid w:val="002217A9"/>
    <w:rsid w:val="002218F9"/>
    <w:rsid w:val="0022204D"/>
    <w:rsid w:val="0022468B"/>
    <w:rsid w:val="0022488F"/>
    <w:rsid w:val="00224CD1"/>
    <w:rsid w:val="00224D7D"/>
    <w:rsid w:val="00225638"/>
    <w:rsid w:val="00226A53"/>
    <w:rsid w:val="00226D29"/>
    <w:rsid w:val="00227123"/>
    <w:rsid w:val="002279B0"/>
    <w:rsid w:val="002306E4"/>
    <w:rsid w:val="002312AE"/>
    <w:rsid w:val="002316AF"/>
    <w:rsid w:val="00231E8D"/>
    <w:rsid w:val="002329DF"/>
    <w:rsid w:val="00232CC8"/>
    <w:rsid w:val="002330BA"/>
    <w:rsid w:val="002333B2"/>
    <w:rsid w:val="002336A3"/>
    <w:rsid w:val="00235002"/>
    <w:rsid w:val="00235AB2"/>
    <w:rsid w:val="0023608E"/>
    <w:rsid w:val="00236356"/>
    <w:rsid w:val="002367AB"/>
    <w:rsid w:val="00236EBE"/>
    <w:rsid w:val="0023751D"/>
    <w:rsid w:val="00237B4D"/>
    <w:rsid w:val="00237BFF"/>
    <w:rsid w:val="00240AA4"/>
    <w:rsid w:val="002412C4"/>
    <w:rsid w:val="00241D19"/>
    <w:rsid w:val="0024331A"/>
    <w:rsid w:val="00243EFE"/>
    <w:rsid w:val="00244341"/>
    <w:rsid w:val="00244372"/>
    <w:rsid w:val="0024448A"/>
    <w:rsid w:val="002477AC"/>
    <w:rsid w:val="002501CE"/>
    <w:rsid w:val="002508D6"/>
    <w:rsid w:val="0025181E"/>
    <w:rsid w:val="002538CD"/>
    <w:rsid w:val="00253DAF"/>
    <w:rsid w:val="00253F8A"/>
    <w:rsid w:val="002547E1"/>
    <w:rsid w:val="00254FEB"/>
    <w:rsid w:val="00255706"/>
    <w:rsid w:val="002557AD"/>
    <w:rsid w:val="00257208"/>
    <w:rsid w:val="002576DD"/>
    <w:rsid w:val="00261376"/>
    <w:rsid w:val="002627A7"/>
    <w:rsid w:val="00263475"/>
    <w:rsid w:val="00265564"/>
    <w:rsid w:val="002661DF"/>
    <w:rsid w:val="0026661A"/>
    <w:rsid w:val="00267FDB"/>
    <w:rsid w:val="0027131F"/>
    <w:rsid w:val="0027219C"/>
    <w:rsid w:val="002746E8"/>
    <w:rsid w:val="00274801"/>
    <w:rsid w:val="0027547F"/>
    <w:rsid w:val="00275D7D"/>
    <w:rsid w:val="002767EC"/>
    <w:rsid w:val="00280087"/>
    <w:rsid w:val="002807F0"/>
    <w:rsid w:val="00280A2A"/>
    <w:rsid w:val="00282FE3"/>
    <w:rsid w:val="00283B7B"/>
    <w:rsid w:val="00283FE0"/>
    <w:rsid w:val="002840ED"/>
    <w:rsid w:val="0028479E"/>
    <w:rsid w:val="00284D8A"/>
    <w:rsid w:val="00284F60"/>
    <w:rsid w:val="00285412"/>
    <w:rsid w:val="0028595B"/>
    <w:rsid w:val="00287299"/>
    <w:rsid w:val="00287BA8"/>
    <w:rsid w:val="00290C59"/>
    <w:rsid w:val="0029119D"/>
    <w:rsid w:val="002928DE"/>
    <w:rsid w:val="00293824"/>
    <w:rsid w:val="0029447B"/>
    <w:rsid w:val="002944D0"/>
    <w:rsid w:val="00294F4A"/>
    <w:rsid w:val="002957E7"/>
    <w:rsid w:val="00297CC8"/>
    <w:rsid w:val="002A08EC"/>
    <w:rsid w:val="002A0DC8"/>
    <w:rsid w:val="002A2C6B"/>
    <w:rsid w:val="002A34E1"/>
    <w:rsid w:val="002A4C2C"/>
    <w:rsid w:val="002A50BA"/>
    <w:rsid w:val="002A5532"/>
    <w:rsid w:val="002A6B01"/>
    <w:rsid w:val="002A6B08"/>
    <w:rsid w:val="002A6BD2"/>
    <w:rsid w:val="002A7192"/>
    <w:rsid w:val="002B07D8"/>
    <w:rsid w:val="002B1E39"/>
    <w:rsid w:val="002B1E85"/>
    <w:rsid w:val="002B226B"/>
    <w:rsid w:val="002B243E"/>
    <w:rsid w:val="002B2E1E"/>
    <w:rsid w:val="002B2E3A"/>
    <w:rsid w:val="002B2EBB"/>
    <w:rsid w:val="002B3230"/>
    <w:rsid w:val="002B35C4"/>
    <w:rsid w:val="002B3A52"/>
    <w:rsid w:val="002B47BF"/>
    <w:rsid w:val="002B6222"/>
    <w:rsid w:val="002B6B80"/>
    <w:rsid w:val="002B6D8B"/>
    <w:rsid w:val="002B710A"/>
    <w:rsid w:val="002B7DBC"/>
    <w:rsid w:val="002B7E70"/>
    <w:rsid w:val="002C0513"/>
    <w:rsid w:val="002C21C5"/>
    <w:rsid w:val="002C46EB"/>
    <w:rsid w:val="002C4E79"/>
    <w:rsid w:val="002C58D1"/>
    <w:rsid w:val="002C734C"/>
    <w:rsid w:val="002D07AA"/>
    <w:rsid w:val="002D1520"/>
    <w:rsid w:val="002D1742"/>
    <w:rsid w:val="002D174E"/>
    <w:rsid w:val="002D17EA"/>
    <w:rsid w:val="002D1A8C"/>
    <w:rsid w:val="002D2272"/>
    <w:rsid w:val="002D313D"/>
    <w:rsid w:val="002D3C6F"/>
    <w:rsid w:val="002D4478"/>
    <w:rsid w:val="002D4701"/>
    <w:rsid w:val="002D5F25"/>
    <w:rsid w:val="002D5FD9"/>
    <w:rsid w:val="002D7307"/>
    <w:rsid w:val="002D73FA"/>
    <w:rsid w:val="002D7FF6"/>
    <w:rsid w:val="002E08F5"/>
    <w:rsid w:val="002E08FB"/>
    <w:rsid w:val="002E09DF"/>
    <w:rsid w:val="002E112A"/>
    <w:rsid w:val="002E19AA"/>
    <w:rsid w:val="002E19E8"/>
    <w:rsid w:val="002E2171"/>
    <w:rsid w:val="002E25A4"/>
    <w:rsid w:val="002E2742"/>
    <w:rsid w:val="002E36BA"/>
    <w:rsid w:val="002E3816"/>
    <w:rsid w:val="002E3995"/>
    <w:rsid w:val="002E4053"/>
    <w:rsid w:val="002E4372"/>
    <w:rsid w:val="002E4553"/>
    <w:rsid w:val="002E6040"/>
    <w:rsid w:val="002E6395"/>
    <w:rsid w:val="002E6531"/>
    <w:rsid w:val="002E6830"/>
    <w:rsid w:val="002E7E9F"/>
    <w:rsid w:val="002F0EB3"/>
    <w:rsid w:val="002F2923"/>
    <w:rsid w:val="002F3367"/>
    <w:rsid w:val="002F59DD"/>
    <w:rsid w:val="002F73A0"/>
    <w:rsid w:val="002F7518"/>
    <w:rsid w:val="00300A87"/>
    <w:rsid w:val="00300C46"/>
    <w:rsid w:val="00300E39"/>
    <w:rsid w:val="00301037"/>
    <w:rsid w:val="00301219"/>
    <w:rsid w:val="00301701"/>
    <w:rsid w:val="00301E84"/>
    <w:rsid w:val="00302A8D"/>
    <w:rsid w:val="003035D9"/>
    <w:rsid w:val="00304087"/>
    <w:rsid w:val="0030518C"/>
    <w:rsid w:val="00305503"/>
    <w:rsid w:val="00305F1F"/>
    <w:rsid w:val="003063B3"/>
    <w:rsid w:val="00306A3F"/>
    <w:rsid w:val="0030768D"/>
    <w:rsid w:val="00307D62"/>
    <w:rsid w:val="00307EE1"/>
    <w:rsid w:val="00311DAE"/>
    <w:rsid w:val="00311DC2"/>
    <w:rsid w:val="00311EA9"/>
    <w:rsid w:val="0031218C"/>
    <w:rsid w:val="003121FE"/>
    <w:rsid w:val="00313135"/>
    <w:rsid w:val="003135A7"/>
    <w:rsid w:val="00313ACF"/>
    <w:rsid w:val="00313AD7"/>
    <w:rsid w:val="003141FC"/>
    <w:rsid w:val="003146B1"/>
    <w:rsid w:val="0031555D"/>
    <w:rsid w:val="003169D2"/>
    <w:rsid w:val="00317498"/>
    <w:rsid w:val="00317832"/>
    <w:rsid w:val="00320F1A"/>
    <w:rsid w:val="0032124E"/>
    <w:rsid w:val="003247C6"/>
    <w:rsid w:val="00324983"/>
    <w:rsid w:val="003263F7"/>
    <w:rsid w:val="00326617"/>
    <w:rsid w:val="00326659"/>
    <w:rsid w:val="00330622"/>
    <w:rsid w:val="00330A10"/>
    <w:rsid w:val="00330B3C"/>
    <w:rsid w:val="0033154B"/>
    <w:rsid w:val="00331A21"/>
    <w:rsid w:val="00331C11"/>
    <w:rsid w:val="00331D30"/>
    <w:rsid w:val="0033239A"/>
    <w:rsid w:val="003333E4"/>
    <w:rsid w:val="003343DC"/>
    <w:rsid w:val="0033492E"/>
    <w:rsid w:val="00334F59"/>
    <w:rsid w:val="00335DBC"/>
    <w:rsid w:val="00341144"/>
    <w:rsid w:val="003413F8"/>
    <w:rsid w:val="0034258E"/>
    <w:rsid w:val="00342D7A"/>
    <w:rsid w:val="00342E2F"/>
    <w:rsid w:val="00343125"/>
    <w:rsid w:val="0034338A"/>
    <w:rsid w:val="00344E48"/>
    <w:rsid w:val="00344FAB"/>
    <w:rsid w:val="0034539D"/>
    <w:rsid w:val="003460EC"/>
    <w:rsid w:val="00346503"/>
    <w:rsid w:val="003476A7"/>
    <w:rsid w:val="00350567"/>
    <w:rsid w:val="003510F9"/>
    <w:rsid w:val="003517DD"/>
    <w:rsid w:val="00351967"/>
    <w:rsid w:val="00351A0D"/>
    <w:rsid w:val="00351A20"/>
    <w:rsid w:val="00351D7B"/>
    <w:rsid w:val="00352AE9"/>
    <w:rsid w:val="00352C27"/>
    <w:rsid w:val="00352FE7"/>
    <w:rsid w:val="00353164"/>
    <w:rsid w:val="003534B8"/>
    <w:rsid w:val="003535E1"/>
    <w:rsid w:val="00353735"/>
    <w:rsid w:val="00353C37"/>
    <w:rsid w:val="00354B0A"/>
    <w:rsid w:val="00354B28"/>
    <w:rsid w:val="0035545A"/>
    <w:rsid w:val="003561A6"/>
    <w:rsid w:val="00356B71"/>
    <w:rsid w:val="00356D54"/>
    <w:rsid w:val="00357658"/>
    <w:rsid w:val="003577CB"/>
    <w:rsid w:val="003604E5"/>
    <w:rsid w:val="00361826"/>
    <w:rsid w:val="00361B95"/>
    <w:rsid w:val="00361C7D"/>
    <w:rsid w:val="00364337"/>
    <w:rsid w:val="0036512C"/>
    <w:rsid w:val="00365BF7"/>
    <w:rsid w:val="00365F7F"/>
    <w:rsid w:val="003666C1"/>
    <w:rsid w:val="00367B70"/>
    <w:rsid w:val="00367C27"/>
    <w:rsid w:val="00370312"/>
    <w:rsid w:val="00370B65"/>
    <w:rsid w:val="00371401"/>
    <w:rsid w:val="003714A9"/>
    <w:rsid w:val="00372335"/>
    <w:rsid w:val="00373504"/>
    <w:rsid w:val="00373666"/>
    <w:rsid w:val="00373707"/>
    <w:rsid w:val="00373D69"/>
    <w:rsid w:val="003748A3"/>
    <w:rsid w:val="00375BE0"/>
    <w:rsid w:val="0037697F"/>
    <w:rsid w:val="003773FE"/>
    <w:rsid w:val="003777BF"/>
    <w:rsid w:val="00380F91"/>
    <w:rsid w:val="00380FC8"/>
    <w:rsid w:val="00381537"/>
    <w:rsid w:val="00382805"/>
    <w:rsid w:val="00382D40"/>
    <w:rsid w:val="003845A5"/>
    <w:rsid w:val="003849C7"/>
    <w:rsid w:val="00384CE2"/>
    <w:rsid w:val="003857B0"/>
    <w:rsid w:val="00386B58"/>
    <w:rsid w:val="0038711B"/>
    <w:rsid w:val="003875C9"/>
    <w:rsid w:val="003879F7"/>
    <w:rsid w:val="00387D20"/>
    <w:rsid w:val="003909C6"/>
    <w:rsid w:val="00390ADF"/>
    <w:rsid w:val="00391FEE"/>
    <w:rsid w:val="00393944"/>
    <w:rsid w:val="00393EC7"/>
    <w:rsid w:val="003942B6"/>
    <w:rsid w:val="003945E2"/>
    <w:rsid w:val="003946B6"/>
    <w:rsid w:val="00394729"/>
    <w:rsid w:val="00394CEB"/>
    <w:rsid w:val="00395A2C"/>
    <w:rsid w:val="00395D74"/>
    <w:rsid w:val="003A2042"/>
    <w:rsid w:val="003A2683"/>
    <w:rsid w:val="003A2893"/>
    <w:rsid w:val="003A55B6"/>
    <w:rsid w:val="003A6048"/>
    <w:rsid w:val="003A7AB4"/>
    <w:rsid w:val="003A7DB9"/>
    <w:rsid w:val="003A7E9F"/>
    <w:rsid w:val="003B0FB4"/>
    <w:rsid w:val="003B1527"/>
    <w:rsid w:val="003B29BB"/>
    <w:rsid w:val="003B2A82"/>
    <w:rsid w:val="003B471D"/>
    <w:rsid w:val="003B473A"/>
    <w:rsid w:val="003B638A"/>
    <w:rsid w:val="003B7347"/>
    <w:rsid w:val="003C04B8"/>
    <w:rsid w:val="003C0D92"/>
    <w:rsid w:val="003C16AF"/>
    <w:rsid w:val="003C19D9"/>
    <w:rsid w:val="003C1AD1"/>
    <w:rsid w:val="003C24D0"/>
    <w:rsid w:val="003C2B23"/>
    <w:rsid w:val="003C31D8"/>
    <w:rsid w:val="003C578C"/>
    <w:rsid w:val="003C57CC"/>
    <w:rsid w:val="003C6083"/>
    <w:rsid w:val="003C617C"/>
    <w:rsid w:val="003C67CA"/>
    <w:rsid w:val="003C6A2B"/>
    <w:rsid w:val="003C72B8"/>
    <w:rsid w:val="003C762C"/>
    <w:rsid w:val="003D2814"/>
    <w:rsid w:val="003D2A48"/>
    <w:rsid w:val="003D2E04"/>
    <w:rsid w:val="003D32E5"/>
    <w:rsid w:val="003D3640"/>
    <w:rsid w:val="003D4896"/>
    <w:rsid w:val="003D545D"/>
    <w:rsid w:val="003D5504"/>
    <w:rsid w:val="003D5AA8"/>
    <w:rsid w:val="003D613C"/>
    <w:rsid w:val="003D61FB"/>
    <w:rsid w:val="003E006F"/>
    <w:rsid w:val="003E0133"/>
    <w:rsid w:val="003E0FA8"/>
    <w:rsid w:val="003E2E0B"/>
    <w:rsid w:val="003E405E"/>
    <w:rsid w:val="003E41DF"/>
    <w:rsid w:val="003E4F0C"/>
    <w:rsid w:val="003E56E2"/>
    <w:rsid w:val="003E7084"/>
    <w:rsid w:val="003E7EBB"/>
    <w:rsid w:val="003E7FD2"/>
    <w:rsid w:val="003F12A6"/>
    <w:rsid w:val="003F20BC"/>
    <w:rsid w:val="003F3469"/>
    <w:rsid w:val="003F3D16"/>
    <w:rsid w:val="003F7237"/>
    <w:rsid w:val="003F72A0"/>
    <w:rsid w:val="003F7721"/>
    <w:rsid w:val="003F7EC6"/>
    <w:rsid w:val="00401442"/>
    <w:rsid w:val="00401483"/>
    <w:rsid w:val="00402127"/>
    <w:rsid w:val="004038ED"/>
    <w:rsid w:val="0040535F"/>
    <w:rsid w:val="0040549D"/>
    <w:rsid w:val="004059C4"/>
    <w:rsid w:val="00407A5D"/>
    <w:rsid w:val="00407B0E"/>
    <w:rsid w:val="004106A7"/>
    <w:rsid w:val="004108A1"/>
    <w:rsid w:val="00410964"/>
    <w:rsid w:val="00410F21"/>
    <w:rsid w:val="00410FAB"/>
    <w:rsid w:val="00411256"/>
    <w:rsid w:val="0041190F"/>
    <w:rsid w:val="00411FE8"/>
    <w:rsid w:val="0041207A"/>
    <w:rsid w:val="00412C52"/>
    <w:rsid w:val="00414374"/>
    <w:rsid w:val="00414440"/>
    <w:rsid w:val="00414CBC"/>
    <w:rsid w:val="004151B7"/>
    <w:rsid w:val="00415720"/>
    <w:rsid w:val="00416123"/>
    <w:rsid w:val="00416293"/>
    <w:rsid w:val="00417DF2"/>
    <w:rsid w:val="004211B4"/>
    <w:rsid w:val="00421AA0"/>
    <w:rsid w:val="00421C67"/>
    <w:rsid w:val="0042201E"/>
    <w:rsid w:val="00422366"/>
    <w:rsid w:val="00422524"/>
    <w:rsid w:val="00422723"/>
    <w:rsid w:val="00424219"/>
    <w:rsid w:val="00424BCE"/>
    <w:rsid w:val="00426BB4"/>
    <w:rsid w:val="00426DE9"/>
    <w:rsid w:val="00426F11"/>
    <w:rsid w:val="00427597"/>
    <w:rsid w:val="00427923"/>
    <w:rsid w:val="00430CEC"/>
    <w:rsid w:val="004310D5"/>
    <w:rsid w:val="0043125F"/>
    <w:rsid w:val="00433504"/>
    <w:rsid w:val="004338FE"/>
    <w:rsid w:val="00433C73"/>
    <w:rsid w:val="00433E7F"/>
    <w:rsid w:val="00434D4F"/>
    <w:rsid w:val="004350AD"/>
    <w:rsid w:val="004360DC"/>
    <w:rsid w:val="004365AC"/>
    <w:rsid w:val="00437E19"/>
    <w:rsid w:val="0044003B"/>
    <w:rsid w:val="0044104D"/>
    <w:rsid w:val="00441A78"/>
    <w:rsid w:val="004429A1"/>
    <w:rsid w:val="00442CC5"/>
    <w:rsid w:val="00443020"/>
    <w:rsid w:val="00443087"/>
    <w:rsid w:val="00443EA7"/>
    <w:rsid w:val="00444681"/>
    <w:rsid w:val="00444B69"/>
    <w:rsid w:val="00445066"/>
    <w:rsid w:val="00445CC8"/>
    <w:rsid w:val="0044686C"/>
    <w:rsid w:val="00446970"/>
    <w:rsid w:val="0044730E"/>
    <w:rsid w:val="00447D9C"/>
    <w:rsid w:val="00451625"/>
    <w:rsid w:val="004525F6"/>
    <w:rsid w:val="00452BF7"/>
    <w:rsid w:val="00453B39"/>
    <w:rsid w:val="004546DA"/>
    <w:rsid w:val="00454999"/>
    <w:rsid w:val="004550A8"/>
    <w:rsid w:val="004563C9"/>
    <w:rsid w:val="00456EC3"/>
    <w:rsid w:val="004572D7"/>
    <w:rsid w:val="004577D5"/>
    <w:rsid w:val="00457E36"/>
    <w:rsid w:val="0046009D"/>
    <w:rsid w:val="004607DD"/>
    <w:rsid w:val="00460E6F"/>
    <w:rsid w:val="004611BE"/>
    <w:rsid w:val="00462C36"/>
    <w:rsid w:val="00463E7E"/>
    <w:rsid w:val="00465EE8"/>
    <w:rsid w:val="004664F4"/>
    <w:rsid w:val="00470ACD"/>
    <w:rsid w:val="004713E1"/>
    <w:rsid w:val="00471E57"/>
    <w:rsid w:val="00472E0E"/>
    <w:rsid w:val="004738AD"/>
    <w:rsid w:val="004759A5"/>
    <w:rsid w:val="00477483"/>
    <w:rsid w:val="00480797"/>
    <w:rsid w:val="00480E76"/>
    <w:rsid w:val="0048141B"/>
    <w:rsid w:val="00481434"/>
    <w:rsid w:val="004818B0"/>
    <w:rsid w:val="00481DAC"/>
    <w:rsid w:val="00482BF9"/>
    <w:rsid w:val="00483971"/>
    <w:rsid w:val="00483BE4"/>
    <w:rsid w:val="00484E1D"/>
    <w:rsid w:val="00484E4D"/>
    <w:rsid w:val="0048558A"/>
    <w:rsid w:val="00487F18"/>
    <w:rsid w:val="004904CA"/>
    <w:rsid w:val="0049144E"/>
    <w:rsid w:val="00491DB4"/>
    <w:rsid w:val="004922AE"/>
    <w:rsid w:val="00492DA4"/>
    <w:rsid w:val="00492EC3"/>
    <w:rsid w:val="00493C6D"/>
    <w:rsid w:val="00494B8C"/>
    <w:rsid w:val="00494C40"/>
    <w:rsid w:val="00495AD8"/>
    <w:rsid w:val="00495D66"/>
    <w:rsid w:val="004964FE"/>
    <w:rsid w:val="00496761"/>
    <w:rsid w:val="004969B1"/>
    <w:rsid w:val="00496B7E"/>
    <w:rsid w:val="00496D02"/>
    <w:rsid w:val="004A07B8"/>
    <w:rsid w:val="004A0F1B"/>
    <w:rsid w:val="004A2723"/>
    <w:rsid w:val="004A33CC"/>
    <w:rsid w:val="004A3952"/>
    <w:rsid w:val="004A44D5"/>
    <w:rsid w:val="004A4A99"/>
    <w:rsid w:val="004A4C19"/>
    <w:rsid w:val="004A547F"/>
    <w:rsid w:val="004A55A8"/>
    <w:rsid w:val="004A5CD1"/>
    <w:rsid w:val="004A78F5"/>
    <w:rsid w:val="004A7FEC"/>
    <w:rsid w:val="004B05FE"/>
    <w:rsid w:val="004B0BA7"/>
    <w:rsid w:val="004B1F2B"/>
    <w:rsid w:val="004B280E"/>
    <w:rsid w:val="004B2CFE"/>
    <w:rsid w:val="004B2E79"/>
    <w:rsid w:val="004B329E"/>
    <w:rsid w:val="004B348C"/>
    <w:rsid w:val="004B34B2"/>
    <w:rsid w:val="004B7DD6"/>
    <w:rsid w:val="004C2355"/>
    <w:rsid w:val="004C2509"/>
    <w:rsid w:val="004C3098"/>
    <w:rsid w:val="004C3598"/>
    <w:rsid w:val="004C468A"/>
    <w:rsid w:val="004C5EC0"/>
    <w:rsid w:val="004C63DD"/>
    <w:rsid w:val="004C74B2"/>
    <w:rsid w:val="004C7895"/>
    <w:rsid w:val="004D0F3C"/>
    <w:rsid w:val="004D1013"/>
    <w:rsid w:val="004D16D4"/>
    <w:rsid w:val="004D1DA5"/>
    <w:rsid w:val="004D2D67"/>
    <w:rsid w:val="004D314D"/>
    <w:rsid w:val="004D345C"/>
    <w:rsid w:val="004D40C9"/>
    <w:rsid w:val="004D694D"/>
    <w:rsid w:val="004D7029"/>
    <w:rsid w:val="004D7388"/>
    <w:rsid w:val="004E056D"/>
    <w:rsid w:val="004E153A"/>
    <w:rsid w:val="004E165F"/>
    <w:rsid w:val="004E29D4"/>
    <w:rsid w:val="004E3095"/>
    <w:rsid w:val="004E309B"/>
    <w:rsid w:val="004E30F4"/>
    <w:rsid w:val="004E333C"/>
    <w:rsid w:val="004E36E2"/>
    <w:rsid w:val="004E44EB"/>
    <w:rsid w:val="004E4FBE"/>
    <w:rsid w:val="004E5738"/>
    <w:rsid w:val="004E5B5C"/>
    <w:rsid w:val="004E6D9B"/>
    <w:rsid w:val="004E710A"/>
    <w:rsid w:val="004E76E9"/>
    <w:rsid w:val="004E7AE4"/>
    <w:rsid w:val="004F0B02"/>
    <w:rsid w:val="004F2C1A"/>
    <w:rsid w:val="004F432E"/>
    <w:rsid w:val="004F46CB"/>
    <w:rsid w:val="004F5284"/>
    <w:rsid w:val="004F5415"/>
    <w:rsid w:val="004F599F"/>
    <w:rsid w:val="004F59EF"/>
    <w:rsid w:val="004F75AA"/>
    <w:rsid w:val="005001B0"/>
    <w:rsid w:val="00500768"/>
    <w:rsid w:val="0050097F"/>
    <w:rsid w:val="005009BE"/>
    <w:rsid w:val="00501638"/>
    <w:rsid w:val="00501C69"/>
    <w:rsid w:val="005023FC"/>
    <w:rsid w:val="00502BCA"/>
    <w:rsid w:val="005031D4"/>
    <w:rsid w:val="005032B3"/>
    <w:rsid w:val="00503BD4"/>
    <w:rsid w:val="005041FE"/>
    <w:rsid w:val="00504C93"/>
    <w:rsid w:val="00506891"/>
    <w:rsid w:val="00506A11"/>
    <w:rsid w:val="00510338"/>
    <w:rsid w:val="0051057C"/>
    <w:rsid w:val="00510BC9"/>
    <w:rsid w:val="00511700"/>
    <w:rsid w:val="00511B7C"/>
    <w:rsid w:val="005123FB"/>
    <w:rsid w:val="00512F83"/>
    <w:rsid w:val="005132DF"/>
    <w:rsid w:val="0051350A"/>
    <w:rsid w:val="00513E0A"/>
    <w:rsid w:val="005159E7"/>
    <w:rsid w:val="00516C00"/>
    <w:rsid w:val="00517859"/>
    <w:rsid w:val="00520F6C"/>
    <w:rsid w:val="00521C2C"/>
    <w:rsid w:val="00522C31"/>
    <w:rsid w:val="00522D99"/>
    <w:rsid w:val="00522FCE"/>
    <w:rsid w:val="00523861"/>
    <w:rsid w:val="005243E6"/>
    <w:rsid w:val="00524655"/>
    <w:rsid w:val="005248DF"/>
    <w:rsid w:val="005248EA"/>
    <w:rsid w:val="0052513B"/>
    <w:rsid w:val="00525729"/>
    <w:rsid w:val="005272F3"/>
    <w:rsid w:val="005278A8"/>
    <w:rsid w:val="00530571"/>
    <w:rsid w:val="005307B3"/>
    <w:rsid w:val="005344A0"/>
    <w:rsid w:val="00534A28"/>
    <w:rsid w:val="00535153"/>
    <w:rsid w:val="0053594C"/>
    <w:rsid w:val="005359EE"/>
    <w:rsid w:val="00536C4D"/>
    <w:rsid w:val="00540859"/>
    <w:rsid w:val="0054125F"/>
    <w:rsid w:val="00541327"/>
    <w:rsid w:val="005419F6"/>
    <w:rsid w:val="00543879"/>
    <w:rsid w:val="005447DE"/>
    <w:rsid w:val="00544CD0"/>
    <w:rsid w:val="00544D95"/>
    <w:rsid w:val="0054504D"/>
    <w:rsid w:val="00546596"/>
    <w:rsid w:val="00546656"/>
    <w:rsid w:val="00546669"/>
    <w:rsid w:val="00546C3A"/>
    <w:rsid w:val="00547E99"/>
    <w:rsid w:val="00547EC6"/>
    <w:rsid w:val="00551164"/>
    <w:rsid w:val="00551308"/>
    <w:rsid w:val="00552FAC"/>
    <w:rsid w:val="00553FDB"/>
    <w:rsid w:val="00554F12"/>
    <w:rsid w:val="005554C6"/>
    <w:rsid w:val="005556A5"/>
    <w:rsid w:val="0055571C"/>
    <w:rsid w:val="005557F9"/>
    <w:rsid w:val="00556F41"/>
    <w:rsid w:val="00557D3A"/>
    <w:rsid w:val="0056078A"/>
    <w:rsid w:val="005613AD"/>
    <w:rsid w:val="00563CD7"/>
    <w:rsid w:val="00564F07"/>
    <w:rsid w:val="00565423"/>
    <w:rsid w:val="00565716"/>
    <w:rsid w:val="005675C9"/>
    <w:rsid w:val="00567D63"/>
    <w:rsid w:val="00567E32"/>
    <w:rsid w:val="0057195C"/>
    <w:rsid w:val="00571C7F"/>
    <w:rsid w:val="00571D27"/>
    <w:rsid w:val="00571E05"/>
    <w:rsid w:val="005720EB"/>
    <w:rsid w:val="0057234E"/>
    <w:rsid w:val="0057427C"/>
    <w:rsid w:val="005744C5"/>
    <w:rsid w:val="00574B25"/>
    <w:rsid w:val="00574BA2"/>
    <w:rsid w:val="005808C0"/>
    <w:rsid w:val="00580BB2"/>
    <w:rsid w:val="00581A2A"/>
    <w:rsid w:val="005826AF"/>
    <w:rsid w:val="00582B2E"/>
    <w:rsid w:val="00582D02"/>
    <w:rsid w:val="00582E44"/>
    <w:rsid w:val="00584E13"/>
    <w:rsid w:val="0058546A"/>
    <w:rsid w:val="005854BD"/>
    <w:rsid w:val="00585922"/>
    <w:rsid w:val="00585CCB"/>
    <w:rsid w:val="00586464"/>
    <w:rsid w:val="00586684"/>
    <w:rsid w:val="00586A6B"/>
    <w:rsid w:val="00587FE0"/>
    <w:rsid w:val="00590DBF"/>
    <w:rsid w:val="0059131C"/>
    <w:rsid w:val="005915F1"/>
    <w:rsid w:val="00591E78"/>
    <w:rsid w:val="005922C2"/>
    <w:rsid w:val="00593B02"/>
    <w:rsid w:val="00593B45"/>
    <w:rsid w:val="005949DD"/>
    <w:rsid w:val="005952EE"/>
    <w:rsid w:val="00595AC2"/>
    <w:rsid w:val="00595DBD"/>
    <w:rsid w:val="00596C05"/>
    <w:rsid w:val="0059765F"/>
    <w:rsid w:val="005A1C07"/>
    <w:rsid w:val="005A268C"/>
    <w:rsid w:val="005A2728"/>
    <w:rsid w:val="005A2D2E"/>
    <w:rsid w:val="005A5C6A"/>
    <w:rsid w:val="005A7B56"/>
    <w:rsid w:val="005B01E8"/>
    <w:rsid w:val="005B0390"/>
    <w:rsid w:val="005B1864"/>
    <w:rsid w:val="005B247B"/>
    <w:rsid w:val="005B45B3"/>
    <w:rsid w:val="005B4E73"/>
    <w:rsid w:val="005B502E"/>
    <w:rsid w:val="005B5344"/>
    <w:rsid w:val="005B54BF"/>
    <w:rsid w:val="005B5F76"/>
    <w:rsid w:val="005B5FB9"/>
    <w:rsid w:val="005B6E8F"/>
    <w:rsid w:val="005B75D9"/>
    <w:rsid w:val="005B7C4D"/>
    <w:rsid w:val="005C057A"/>
    <w:rsid w:val="005C1705"/>
    <w:rsid w:val="005C21F6"/>
    <w:rsid w:val="005C27E9"/>
    <w:rsid w:val="005C384A"/>
    <w:rsid w:val="005C5E29"/>
    <w:rsid w:val="005C67CC"/>
    <w:rsid w:val="005C6B6C"/>
    <w:rsid w:val="005C725F"/>
    <w:rsid w:val="005C76B8"/>
    <w:rsid w:val="005C78C9"/>
    <w:rsid w:val="005C7C4A"/>
    <w:rsid w:val="005D01B7"/>
    <w:rsid w:val="005D10DA"/>
    <w:rsid w:val="005D112F"/>
    <w:rsid w:val="005D2A31"/>
    <w:rsid w:val="005D37D5"/>
    <w:rsid w:val="005D5DFE"/>
    <w:rsid w:val="005D7B80"/>
    <w:rsid w:val="005E0143"/>
    <w:rsid w:val="005E1AD8"/>
    <w:rsid w:val="005E1D75"/>
    <w:rsid w:val="005E2119"/>
    <w:rsid w:val="005E4D30"/>
    <w:rsid w:val="005E5278"/>
    <w:rsid w:val="005E562A"/>
    <w:rsid w:val="005E5C19"/>
    <w:rsid w:val="005E5FEA"/>
    <w:rsid w:val="005E6280"/>
    <w:rsid w:val="005E684F"/>
    <w:rsid w:val="005E728B"/>
    <w:rsid w:val="005E7EF8"/>
    <w:rsid w:val="005F03E1"/>
    <w:rsid w:val="005F0BEE"/>
    <w:rsid w:val="005F0C7D"/>
    <w:rsid w:val="005F1779"/>
    <w:rsid w:val="005F1C80"/>
    <w:rsid w:val="005F1CDB"/>
    <w:rsid w:val="005F2A7F"/>
    <w:rsid w:val="005F2E63"/>
    <w:rsid w:val="005F327F"/>
    <w:rsid w:val="005F32CB"/>
    <w:rsid w:val="005F3482"/>
    <w:rsid w:val="005F44D9"/>
    <w:rsid w:val="005F45C3"/>
    <w:rsid w:val="005F65FE"/>
    <w:rsid w:val="005F7117"/>
    <w:rsid w:val="00600263"/>
    <w:rsid w:val="006007AA"/>
    <w:rsid w:val="00601007"/>
    <w:rsid w:val="00601631"/>
    <w:rsid w:val="00601C99"/>
    <w:rsid w:val="00601F95"/>
    <w:rsid w:val="006049EF"/>
    <w:rsid w:val="00605483"/>
    <w:rsid w:val="00607926"/>
    <w:rsid w:val="00610827"/>
    <w:rsid w:val="00610D5E"/>
    <w:rsid w:val="006132C3"/>
    <w:rsid w:val="006135F4"/>
    <w:rsid w:val="006173D0"/>
    <w:rsid w:val="00617E1E"/>
    <w:rsid w:val="00620A60"/>
    <w:rsid w:val="00622154"/>
    <w:rsid w:val="00622EAE"/>
    <w:rsid w:val="00624398"/>
    <w:rsid w:val="00624591"/>
    <w:rsid w:val="006252AA"/>
    <w:rsid w:val="00625669"/>
    <w:rsid w:val="006258CA"/>
    <w:rsid w:val="00625E55"/>
    <w:rsid w:val="00626038"/>
    <w:rsid w:val="00626488"/>
    <w:rsid w:val="0062714E"/>
    <w:rsid w:val="00627FA0"/>
    <w:rsid w:val="00631043"/>
    <w:rsid w:val="00632A44"/>
    <w:rsid w:val="00633F3A"/>
    <w:rsid w:val="00634D8E"/>
    <w:rsid w:val="00635643"/>
    <w:rsid w:val="00636CDE"/>
    <w:rsid w:val="00637112"/>
    <w:rsid w:val="00637278"/>
    <w:rsid w:val="00637540"/>
    <w:rsid w:val="00637A31"/>
    <w:rsid w:val="00644450"/>
    <w:rsid w:val="00644D68"/>
    <w:rsid w:val="00645969"/>
    <w:rsid w:val="00646813"/>
    <w:rsid w:val="00646B9D"/>
    <w:rsid w:val="00650340"/>
    <w:rsid w:val="00650DFB"/>
    <w:rsid w:val="00650F93"/>
    <w:rsid w:val="00651596"/>
    <w:rsid w:val="00652031"/>
    <w:rsid w:val="006524E0"/>
    <w:rsid w:val="0065277F"/>
    <w:rsid w:val="00653B46"/>
    <w:rsid w:val="00653E49"/>
    <w:rsid w:val="00654DFB"/>
    <w:rsid w:val="00655A08"/>
    <w:rsid w:val="00656239"/>
    <w:rsid w:val="00657402"/>
    <w:rsid w:val="006577D5"/>
    <w:rsid w:val="006601A7"/>
    <w:rsid w:val="006605B0"/>
    <w:rsid w:val="00661EB8"/>
    <w:rsid w:val="00661F4A"/>
    <w:rsid w:val="00662E98"/>
    <w:rsid w:val="00662FC0"/>
    <w:rsid w:val="006630E7"/>
    <w:rsid w:val="0066453D"/>
    <w:rsid w:val="00664830"/>
    <w:rsid w:val="00664F55"/>
    <w:rsid w:val="00665D10"/>
    <w:rsid w:val="00665F58"/>
    <w:rsid w:val="0066666B"/>
    <w:rsid w:val="00666969"/>
    <w:rsid w:val="006670D1"/>
    <w:rsid w:val="00667BBB"/>
    <w:rsid w:val="006708E6"/>
    <w:rsid w:val="00671E8F"/>
    <w:rsid w:val="00672891"/>
    <w:rsid w:val="00672DEE"/>
    <w:rsid w:val="00673315"/>
    <w:rsid w:val="0067353C"/>
    <w:rsid w:val="006746D9"/>
    <w:rsid w:val="0067603B"/>
    <w:rsid w:val="00676ED8"/>
    <w:rsid w:val="006773AB"/>
    <w:rsid w:val="006777D2"/>
    <w:rsid w:val="006800B4"/>
    <w:rsid w:val="006804A7"/>
    <w:rsid w:val="00681C9D"/>
    <w:rsid w:val="006824AA"/>
    <w:rsid w:val="00683136"/>
    <w:rsid w:val="006834F3"/>
    <w:rsid w:val="0068611E"/>
    <w:rsid w:val="00686F2C"/>
    <w:rsid w:val="00687563"/>
    <w:rsid w:val="006879AD"/>
    <w:rsid w:val="006879B4"/>
    <w:rsid w:val="0069082E"/>
    <w:rsid w:val="00692334"/>
    <w:rsid w:val="00693C46"/>
    <w:rsid w:val="006940CC"/>
    <w:rsid w:val="00695082"/>
    <w:rsid w:val="0069698F"/>
    <w:rsid w:val="006A07B2"/>
    <w:rsid w:val="006A0C6A"/>
    <w:rsid w:val="006A0F4C"/>
    <w:rsid w:val="006A1050"/>
    <w:rsid w:val="006A1B53"/>
    <w:rsid w:val="006A2170"/>
    <w:rsid w:val="006A2839"/>
    <w:rsid w:val="006A4013"/>
    <w:rsid w:val="006A41CD"/>
    <w:rsid w:val="006A4984"/>
    <w:rsid w:val="006A6539"/>
    <w:rsid w:val="006A7B1D"/>
    <w:rsid w:val="006B03E4"/>
    <w:rsid w:val="006B07CD"/>
    <w:rsid w:val="006B10C4"/>
    <w:rsid w:val="006B1399"/>
    <w:rsid w:val="006B19E0"/>
    <w:rsid w:val="006B256E"/>
    <w:rsid w:val="006B2FAB"/>
    <w:rsid w:val="006B343F"/>
    <w:rsid w:val="006B348F"/>
    <w:rsid w:val="006B42CB"/>
    <w:rsid w:val="006B5292"/>
    <w:rsid w:val="006B53AB"/>
    <w:rsid w:val="006B5FBB"/>
    <w:rsid w:val="006C05B9"/>
    <w:rsid w:val="006C161E"/>
    <w:rsid w:val="006C1FB8"/>
    <w:rsid w:val="006C2769"/>
    <w:rsid w:val="006C2B66"/>
    <w:rsid w:val="006C2B7D"/>
    <w:rsid w:val="006C328D"/>
    <w:rsid w:val="006C502C"/>
    <w:rsid w:val="006C7FF4"/>
    <w:rsid w:val="006D099B"/>
    <w:rsid w:val="006D1226"/>
    <w:rsid w:val="006D1435"/>
    <w:rsid w:val="006D1729"/>
    <w:rsid w:val="006D245E"/>
    <w:rsid w:val="006D2502"/>
    <w:rsid w:val="006D3183"/>
    <w:rsid w:val="006D6019"/>
    <w:rsid w:val="006D6072"/>
    <w:rsid w:val="006D6554"/>
    <w:rsid w:val="006D7F0F"/>
    <w:rsid w:val="006E11B5"/>
    <w:rsid w:val="006E1CC4"/>
    <w:rsid w:val="006E2663"/>
    <w:rsid w:val="006E27E3"/>
    <w:rsid w:val="006E2ED9"/>
    <w:rsid w:val="006E2FE6"/>
    <w:rsid w:val="006E32F7"/>
    <w:rsid w:val="006E3E25"/>
    <w:rsid w:val="006E4534"/>
    <w:rsid w:val="006E5971"/>
    <w:rsid w:val="006E5FCB"/>
    <w:rsid w:val="006E6ABE"/>
    <w:rsid w:val="006E6B39"/>
    <w:rsid w:val="006E7877"/>
    <w:rsid w:val="006E7BFA"/>
    <w:rsid w:val="006F0DCD"/>
    <w:rsid w:val="006F1BA3"/>
    <w:rsid w:val="006F1FA9"/>
    <w:rsid w:val="006F228F"/>
    <w:rsid w:val="006F2DC6"/>
    <w:rsid w:val="006F38FA"/>
    <w:rsid w:val="006F3D09"/>
    <w:rsid w:val="006F3F20"/>
    <w:rsid w:val="006F5003"/>
    <w:rsid w:val="006F5EDC"/>
    <w:rsid w:val="006F65E1"/>
    <w:rsid w:val="006F6EC6"/>
    <w:rsid w:val="0070050E"/>
    <w:rsid w:val="00700806"/>
    <w:rsid w:val="00701CBF"/>
    <w:rsid w:val="00701F7F"/>
    <w:rsid w:val="00702E95"/>
    <w:rsid w:val="007040DC"/>
    <w:rsid w:val="00704C8D"/>
    <w:rsid w:val="00705173"/>
    <w:rsid w:val="007053A8"/>
    <w:rsid w:val="007057E2"/>
    <w:rsid w:val="007058E3"/>
    <w:rsid w:val="00705B41"/>
    <w:rsid w:val="0071008F"/>
    <w:rsid w:val="007106FA"/>
    <w:rsid w:val="007113F9"/>
    <w:rsid w:val="00711C8C"/>
    <w:rsid w:val="0071273F"/>
    <w:rsid w:val="00712B35"/>
    <w:rsid w:val="00712CAF"/>
    <w:rsid w:val="00713310"/>
    <w:rsid w:val="007134D1"/>
    <w:rsid w:val="00713DEE"/>
    <w:rsid w:val="0071449D"/>
    <w:rsid w:val="00714790"/>
    <w:rsid w:val="00714BE2"/>
    <w:rsid w:val="00716EA6"/>
    <w:rsid w:val="007175F8"/>
    <w:rsid w:val="00717D32"/>
    <w:rsid w:val="00721504"/>
    <w:rsid w:val="0072157C"/>
    <w:rsid w:val="00721784"/>
    <w:rsid w:val="00721A69"/>
    <w:rsid w:val="00722172"/>
    <w:rsid w:val="007238F3"/>
    <w:rsid w:val="007245F5"/>
    <w:rsid w:val="00724992"/>
    <w:rsid w:val="0072505F"/>
    <w:rsid w:val="00725532"/>
    <w:rsid w:val="00725576"/>
    <w:rsid w:val="00725CA3"/>
    <w:rsid w:val="00726337"/>
    <w:rsid w:val="007268E3"/>
    <w:rsid w:val="00726BD6"/>
    <w:rsid w:val="00727169"/>
    <w:rsid w:val="00727218"/>
    <w:rsid w:val="007279F2"/>
    <w:rsid w:val="00730E34"/>
    <w:rsid w:val="00731AB1"/>
    <w:rsid w:val="0073211A"/>
    <w:rsid w:val="007321D9"/>
    <w:rsid w:val="0073330E"/>
    <w:rsid w:val="007336F7"/>
    <w:rsid w:val="007342FB"/>
    <w:rsid w:val="00734D7D"/>
    <w:rsid w:val="00735867"/>
    <w:rsid w:val="007363DA"/>
    <w:rsid w:val="0073684D"/>
    <w:rsid w:val="0073758C"/>
    <w:rsid w:val="00737688"/>
    <w:rsid w:val="00737899"/>
    <w:rsid w:val="00741682"/>
    <w:rsid w:val="00741963"/>
    <w:rsid w:val="007423A5"/>
    <w:rsid w:val="007432B2"/>
    <w:rsid w:val="007437B0"/>
    <w:rsid w:val="00743B43"/>
    <w:rsid w:val="0074443A"/>
    <w:rsid w:val="00744708"/>
    <w:rsid w:val="00745484"/>
    <w:rsid w:val="00745518"/>
    <w:rsid w:val="007459BA"/>
    <w:rsid w:val="00745FE8"/>
    <w:rsid w:val="00746103"/>
    <w:rsid w:val="0074699D"/>
    <w:rsid w:val="00746AE4"/>
    <w:rsid w:val="00746AE5"/>
    <w:rsid w:val="007505FB"/>
    <w:rsid w:val="00750933"/>
    <w:rsid w:val="00750DE2"/>
    <w:rsid w:val="00752C80"/>
    <w:rsid w:val="00753DC5"/>
    <w:rsid w:val="0075443B"/>
    <w:rsid w:val="00754A76"/>
    <w:rsid w:val="007555CF"/>
    <w:rsid w:val="007558F3"/>
    <w:rsid w:val="00760982"/>
    <w:rsid w:val="00761F56"/>
    <w:rsid w:val="00762B41"/>
    <w:rsid w:val="007635FA"/>
    <w:rsid w:val="0076421F"/>
    <w:rsid w:val="00765342"/>
    <w:rsid w:val="00765750"/>
    <w:rsid w:val="00765795"/>
    <w:rsid w:val="00766082"/>
    <w:rsid w:val="007662AB"/>
    <w:rsid w:val="00766B2D"/>
    <w:rsid w:val="00766B52"/>
    <w:rsid w:val="00766FC4"/>
    <w:rsid w:val="007674BF"/>
    <w:rsid w:val="007675BF"/>
    <w:rsid w:val="00767624"/>
    <w:rsid w:val="00770B97"/>
    <w:rsid w:val="00771C55"/>
    <w:rsid w:val="00772150"/>
    <w:rsid w:val="007727E5"/>
    <w:rsid w:val="0077298C"/>
    <w:rsid w:val="00773ECB"/>
    <w:rsid w:val="007748FE"/>
    <w:rsid w:val="0077543A"/>
    <w:rsid w:val="00775796"/>
    <w:rsid w:val="00776E26"/>
    <w:rsid w:val="00777319"/>
    <w:rsid w:val="00777ED5"/>
    <w:rsid w:val="0078007D"/>
    <w:rsid w:val="007826E8"/>
    <w:rsid w:val="00782876"/>
    <w:rsid w:val="007832D0"/>
    <w:rsid w:val="00783CF9"/>
    <w:rsid w:val="00783E18"/>
    <w:rsid w:val="00783F47"/>
    <w:rsid w:val="0078434E"/>
    <w:rsid w:val="00784390"/>
    <w:rsid w:val="007845EB"/>
    <w:rsid w:val="00786600"/>
    <w:rsid w:val="00786AA0"/>
    <w:rsid w:val="007908EC"/>
    <w:rsid w:val="00790D6A"/>
    <w:rsid w:val="007910B3"/>
    <w:rsid w:val="00791250"/>
    <w:rsid w:val="00792BD7"/>
    <w:rsid w:val="00793352"/>
    <w:rsid w:val="0079378A"/>
    <w:rsid w:val="00794A74"/>
    <w:rsid w:val="0079505E"/>
    <w:rsid w:val="007961A6"/>
    <w:rsid w:val="00797664"/>
    <w:rsid w:val="00797A9B"/>
    <w:rsid w:val="007A0893"/>
    <w:rsid w:val="007A12AB"/>
    <w:rsid w:val="007A2556"/>
    <w:rsid w:val="007A2685"/>
    <w:rsid w:val="007A4015"/>
    <w:rsid w:val="007A42C1"/>
    <w:rsid w:val="007A47A4"/>
    <w:rsid w:val="007A491F"/>
    <w:rsid w:val="007A5DCE"/>
    <w:rsid w:val="007A69C5"/>
    <w:rsid w:val="007A70FA"/>
    <w:rsid w:val="007B05FC"/>
    <w:rsid w:val="007B09BD"/>
    <w:rsid w:val="007B153C"/>
    <w:rsid w:val="007B1607"/>
    <w:rsid w:val="007B19D1"/>
    <w:rsid w:val="007B3991"/>
    <w:rsid w:val="007B4793"/>
    <w:rsid w:val="007B4EAB"/>
    <w:rsid w:val="007B5003"/>
    <w:rsid w:val="007B5687"/>
    <w:rsid w:val="007B5DFE"/>
    <w:rsid w:val="007B79FE"/>
    <w:rsid w:val="007C0F01"/>
    <w:rsid w:val="007C195C"/>
    <w:rsid w:val="007C2889"/>
    <w:rsid w:val="007C63B8"/>
    <w:rsid w:val="007C6960"/>
    <w:rsid w:val="007C6FBF"/>
    <w:rsid w:val="007C7170"/>
    <w:rsid w:val="007C7582"/>
    <w:rsid w:val="007C7A35"/>
    <w:rsid w:val="007C7E09"/>
    <w:rsid w:val="007D036C"/>
    <w:rsid w:val="007D09ED"/>
    <w:rsid w:val="007D0C78"/>
    <w:rsid w:val="007D203E"/>
    <w:rsid w:val="007D2201"/>
    <w:rsid w:val="007D2AB2"/>
    <w:rsid w:val="007D57F9"/>
    <w:rsid w:val="007D600D"/>
    <w:rsid w:val="007D6220"/>
    <w:rsid w:val="007D7B63"/>
    <w:rsid w:val="007E0898"/>
    <w:rsid w:val="007E344F"/>
    <w:rsid w:val="007E3703"/>
    <w:rsid w:val="007E3D18"/>
    <w:rsid w:val="007E3FBE"/>
    <w:rsid w:val="007E4679"/>
    <w:rsid w:val="007E4681"/>
    <w:rsid w:val="007E4E76"/>
    <w:rsid w:val="007E68A1"/>
    <w:rsid w:val="007E7022"/>
    <w:rsid w:val="007E73A3"/>
    <w:rsid w:val="007F0759"/>
    <w:rsid w:val="007F07AF"/>
    <w:rsid w:val="007F15E6"/>
    <w:rsid w:val="007F2921"/>
    <w:rsid w:val="007F3A8B"/>
    <w:rsid w:val="007F4E27"/>
    <w:rsid w:val="007F532D"/>
    <w:rsid w:val="007F5A40"/>
    <w:rsid w:val="007F5A9F"/>
    <w:rsid w:val="007F5F64"/>
    <w:rsid w:val="007F6350"/>
    <w:rsid w:val="007F676A"/>
    <w:rsid w:val="007F6AEB"/>
    <w:rsid w:val="007F77BC"/>
    <w:rsid w:val="007F7E7A"/>
    <w:rsid w:val="0080005D"/>
    <w:rsid w:val="00800D0C"/>
    <w:rsid w:val="00800F88"/>
    <w:rsid w:val="008015F0"/>
    <w:rsid w:val="00801756"/>
    <w:rsid w:val="00801B7A"/>
    <w:rsid w:val="00802356"/>
    <w:rsid w:val="00802534"/>
    <w:rsid w:val="00802B1D"/>
    <w:rsid w:val="008032A5"/>
    <w:rsid w:val="00804497"/>
    <w:rsid w:val="00806894"/>
    <w:rsid w:val="00806993"/>
    <w:rsid w:val="008069E3"/>
    <w:rsid w:val="00806BAD"/>
    <w:rsid w:val="0080784C"/>
    <w:rsid w:val="008103A0"/>
    <w:rsid w:val="0081141D"/>
    <w:rsid w:val="00811498"/>
    <w:rsid w:val="008129CB"/>
    <w:rsid w:val="00812A9E"/>
    <w:rsid w:val="00812D5D"/>
    <w:rsid w:val="008130B8"/>
    <w:rsid w:val="00814C5B"/>
    <w:rsid w:val="00814E56"/>
    <w:rsid w:val="00815081"/>
    <w:rsid w:val="00815774"/>
    <w:rsid w:val="00817C8B"/>
    <w:rsid w:val="00820021"/>
    <w:rsid w:val="00820C3C"/>
    <w:rsid w:val="00820D3A"/>
    <w:rsid w:val="00823269"/>
    <w:rsid w:val="00823451"/>
    <w:rsid w:val="00824856"/>
    <w:rsid w:val="008251A3"/>
    <w:rsid w:val="0082588C"/>
    <w:rsid w:val="00825947"/>
    <w:rsid w:val="00825ADD"/>
    <w:rsid w:val="00825B26"/>
    <w:rsid w:val="00825C8A"/>
    <w:rsid w:val="00827362"/>
    <w:rsid w:val="008279EC"/>
    <w:rsid w:val="00830115"/>
    <w:rsid w:val="00830C63"/>
    <w:rsid w:val="00830DF3"/>
    <w:rsid w:val="00830FFF"/>
    <w:rsid w:val="008315D2"/>
    <w:rsid w:val="008321AE"/>
    <w:rsid w:val="00832D64"/>
    <w:rsid w:val="0083330D"/>
    <w:rsid w:val="00835E2F"/>
    <w:rsid w:val="00836288"/>
    <w:rsid w:val="00840FC7"/>
    <w:rsid w:val="008424D9"/>
    <w:rsid w:val="00842D90"/>
    <w:rsid w:val="0084377F"/>
    <w:rsid w:val="00844979"/>
    <w:rsid w:val="0084542D"/>
    <w:rsid w:val="00845AAE"/>
    <w:rsid w:val="00846377"/>
    <w:rsid w:val="00847F55"/>
    <w:rsid w:val="00847FE9"/>
    <w:rsid w:val="0085071E"/>
    <w:rsid w:val="0085089E"/>
    <w:rsid w:val="008508D0"/>
    <w:rsid w:val="0085216D"/>
    <w:rsid w:val="0085247D"/>
    <w:rsid w:val="00852764"/>
    <w:rsid w:val="008539D5"/>
    <w:rsid w:val="00854903"/>
    <w:rsid w:val="00854982"/>
    <w:rsid w:val="008552A1"/>
    <w:rsid w:val="00856D64"/>
    <w:rsid w:val="00856F16"/>
    <w:rsid w:val="00857217"/>
    <w:rsid w:val="00860A63"/>
    <w:rsid w:val="00861772"/>
    <w:rsid w:val="00863F07"/>
    <w:rsid w:val="00866121"/>
    <w:rsid w:val="008666C6"/>
    <w:rsid w:val="00866764"/>
    <w:rsid w:val="00867376"/>
    <w:rsid w:val="008678CD"/>
    <w:rsid w:val="0087068D"/>
    <w:rsid w:val="00872158"/>
    <w:rsid w:val="00872D78"/>
    <w:rsid w:val="008735C5"/>
    <w:rsid w:val="0087415A"/>
    <w:rsid w:val="00874561"/>
    <w:rsid w:val="00874A8C"/>
    <w:rsid w:val="00876168"/>
    <w:rsid w:val="00877467"/>
    <w:rsid w:val="008800C8"/>
    <w:rsid w:val="00882DFD"/>
    <w:rsid w:val="00884D99"/>
    <w:rsid w:val="00885AA1"/>
    <w:rsid w:val="00885BB0"/>
    <w:rsid w:val="0088664D"/>
    <w:rsid w:val="00886945"/>
    <w:rsid w:val="008875EB"/>
    <w:rsid w:val="008878E9"/>
    <w:rsid w:val="00890777"/>
    <w:rsid w:val="008908E6"/>
    <w:rsid w:val="0089134C"/>
    <w:rsid w:val="00891C5E"/>
    <w:rsid w:val="00892059"/>
    <w:rsid w:val="008926D9"/>
    <w:rsid w:val="00892C35"/>
    <w:rsid w:val="0089458B"/>
    <w:rsid w:val="00894B95"/>
    <w:rsid w:val="00894D16"/>
    <w:rsid w:val="008954FF"/>
    <w:rsid w:val="008959E9"/>
    <w:rsid w:val="00895F22"/>
    <w:rsid w:val="00897717"/>
    <w:rsid w:val="008A0924"/>
    <w:rsid w:val="008A116A"/>
    <w:rsid w:val="008A388C"/>
    <w:rsid w:val="008A4C56"/>
    <w:rsid w:val="008A5529"/>
    <w:rsid w:val="008A6F5F"/>
    <w:rsid w:val="008A7251"/>
    <w:rsid w:val="008A7CFE"/>
    <w:rsid w:val="008A7EBD"/>
    <w:rsid w:val="008A7F9A"/>
    <w:rsid w:val="008B1F50"/>
    <w:rsid w:val="008B26FA"/>
    <w:rsid w:val="008B35F3"/>
    <w:rsid w:val="008B38D1"/>
    <w:rsid w:val="008B425F"/>
    <w:rsid w:val="008B4BA2"/>
    <w:rsid w:val="008B6260"/>
    <w:rsid w:val="008C12C1"/>
    <w:rsid w:val="008C3BA5"/>
    <w:rsid w:val="008C3D98"/>
    <w:rsid w:val="008C6A7D"/>
    <w:rsid w:val="008D06A4"/>
    <w:rsid w:val="008D11F5"/>
    <w:rsid w:val="008D222C"/>
    <w:rsid w:val="008D3892"/>
    <w:rsid w:val="008D5ACE"/>
    <w:rsid w:val="008D7626"/>
    <w:rsid w:val="008E018A"/>
    <w:rsid w:val="008E059C"/>
    <w:rsid w:val="008E0D94"/>
    <w:rsid w:val="008E15BA"/>
    <w:rsid w:val="008E1BFF"/>
    <w:rsid w:val="008E2F0A"/>
    <w:rsid w:val="008E4A8C"/>
    <w:rsid w:val="008E4A8E"/>
    <w:rsid w:val="008E5A7B"/>
    <w:rsid w:val="008E6372"/>
    <w:rsid w:val="008E6715"/>
    <w:rsid w:val="008E6AEA"/>
    <w:rsid w:val="008E6EAD"/>
    <w:rsid w:val="008F0720"/>
    <w:rsid w:val="008F0F67"/>
    <w:rsid w:val="008F13F7"/>
    <w:rsid w:val="008F16F0"/>
    <w:rsid w:val="008F1AE4"/>
    <w:rsid w:val="008F1F6E"/>
    <w:rsid w:val="008F36A4"/>
    <w:rsid w:val="008F48B2"/>
    <w:rsid w:val="008F56C8"/>
    <w:rsid w:val="008F79C0"/>
    <w:rsid w:val="008F7DF2"/>
    <w:rsid w:val="00900402"/>
    <w:rsid w:val="009006B4"/>
    <w:rsid w:val="00901EC7"/>
    <w:rsid w:val="00902CAE"/>
    <w:rsid w:val="009037BC"/>
    <w:rsid w:val="00903AF8"/>
    <w:rsid w:val="00904231"/>
    <w:rsid w:val="00907965"/>
    <w:rsid w:val="009101BD"/>
    <w:rsid w:val="0091125A"/>
    <w:rsid w:val="00911D42"/>
    <w:rsid w:val="00914A05"/>
    <w:rsid w:val="00916301"/>
    <w:rsid w:val="009164E9"/>
    <w:rsid w:val="009165FA"/>
    <w:rsid w:val="00920205"/>
    <w:rsid w:val="009202FC"/>
    <w:rsid w:val="00920960"/>
    <w:rsid w:val="00921608"/>
    <w:rsid w:val="00921FAD"/>
    <w:rsid w:val="00922D49"/>
    <w:rsid w:val="00923857"/>
    <w:rsid w:val="00923A9D"/>
    <w:rsid w:val="00923C35"/>
    <w:rsid w:val="00923F6E"/>
    <w:rsid w:val="0092402A"/>
    <w:rsid w:val="0092462C"/>
    <w:rsid w:val="009261DB"/>
    <w:rsid w:val="00926C02"/>
    <w:rsid w:val="00927311"/>
    <w:rsid w:val="00930C49"/>
    <w:rsid w:val="00931550"/>
    <w:rsid w:val="00932DAC"/>
    <w:rsid w:val="00933278"/>
    <w:rsid w:val="0093354B"/>
    <w:rsid w:val="00934BD0"/>
    <w:rsid w:val="00936AEF"/>
    <w:rsid w:val="00940224"/>
    <w:rsid w:val="00940AB6"/>
    <w:rsid w:val="00940D63"/>
    <w:rsid w:val="00941919"/>
    <w:rsid w:val="00941AB8"/>
    <w:rsid w:val="00941FD8"/>
    <w:rsid w:val="0094287B"/>
    <w:rsid w:val="00942973"/>
    <w:rsid w:val="009440EF"/>
    <w:rsid w:val="009503C1"/>
    <w:rsid w:val="009504E7"/>
    <w:rsid w:val="009505D8"/>
    <w:rsid w:val="0095135D"/>
    <w:rsid w:val="00951AA9"/>
    <w:rsid w:val="0095207B"/>
    <w:rsid w:val="00953B6D"/>
    <w:rsid w:val="00953CEE"/>
    <w:rsid w:val="00953E41"/>
    <w:rsid w:val="0095559B"/>
    <w:rsid w:val="009557BE"/>
    <w:rsid w:val="009561BD"/>
    <w:rsid w:val="009564D5"/>
    <w:rsid w:val="009566CD"/>
    <w:rsid w:val="00956ED1"/>
    <w:rsid w:val="00956F21"/>
    <w:rsid w:val="00957892"/>
    <w:rsid w:val="00960ABD"/>
    <w:rsid w:val="00961463"/>
    <w:rsid w:val="009626D7"/>
    <w:rsid w:val="0096296E"/>
    <w:rsid w:val="009634A7"/>
    <w:rsid w:val="00963F84"/>
    <w:rsid w:val="00965730"/>
    <w:rsid w:val="009667A9"/>
    <w:rsid w:val="0096682B"/>
    <w:rsid w:val="00967CD1"/>
    <w:rsid w:val="0097087D"/>
    <w:rsid w:val="00970C0C"/>
    <w:rsid w:val="00971D00"/>
    <w:rsid w:val="00974EF5"/>
    <w:rsid w:val="00975005"/>
    <w:rsid w:val="009767DB"/>
    <w:rsid w:val="00977B35"/>
    <w:rsid w:val="00977E8A"/>
    <w:rsid w:val="009811D6"/>
    <w:rsid w:val="009811DA"/>
    <w:rsid w:val="00981A5D"/>
    <w:rsid w:val="00981AC8"/>
    <w:rsid w:val="00981FE6"/>
    <w:rsid w:val="00982C1E"/>
    <w:rsid w:val="00983614"/>
    <w:rsid w:val="00983A0A"/>
    <w:rsid w:val="0098402B"/>
    <w:rsid w:val="00986F5C"/>
    <w:rsid w:val="00987024"/>
    <w:rsid w:val="00987ECC"/>
    <w:rsid w:val="00990497"/>
    <w:rsid w:val="00990D56"/>
    <w:rsid w:val="009920BF"/>
    <w:rsid w:val="00992C84"/>
    <w:rsid w:val="00992D31"/>
    <w:rsid w:val="00993066"/>
    <w:rsid w:val="00993589"/>
    <w:rsid w:val="009939CE"/>
    <w:rsid w:val="00993B43"/>
    <w:rsid w:val="00993B96"/>
    <w:rsid w:val="00994892"/>
    <w:rsid w:val="00996FF1"/>
    <w:rsid w:val="009A1C6F"/>
    <w:rsid w:val="009A287B"/>
    <w:rsid w:val="009A2961"/>
    <w:rsid w:val="009A2A1B"/>
    <w:rsid w:val="009A2CF8"/>
    <w:rsid w:val="009A43D4"/>
    <w:rsid w:val="009A590B"/>
    <w:rsid w:val="009B0CCF"/>
    <w:rsid w:val="009B1AA9"/>
    <w:rsid w:val="009B2F01"/>
    <w:rsid w:val="009B3327"/>
    <w:rsid w:val="009B3395"/>
    <w:rsid w:val="009B4561"/>
    <w:rsid w:val="009B4E15"/>
    <w:rsid w:val="009B5351"/>
    <w:rsid w:val="009B57BC"/>
    <w:rsid w:val="009B58FF"/>
    <w:rsid w:val="009B5A83"/>
    <w:rsid w:val="009B6DD6"/>
    <w:rsid w:val="009B7640"/>
    <w:rsid w:val="009B77E9"/>
    <w:rsid w:val="009C0478"/>
    <w:rsid w:val="009C15B5"/>
    <w:rsid w:val="009C224B"/>
    <w:rsid w:val="009C3846"/>
    <w:rsid w:val="009C3E50"/>
    <w:rsid w:val="009C4277"/>
    <w:rsid w:val="009C4780"/>
    <w:rsid w:val="009C5687"/>
    <w:rsid w:val="009C5B9A"/>
    <w:rsid w:val="009C62AB"/>
    <w:rsid w:val="009D0D10"/>
    <w:rsid w:val="009D1C48"/>
    <w:rsid w:val="009D41AB"/>
    <w:rsid w:val="009D41CB"/>
    <w:rsid w:val="009D5423"/>
    <w:rsid w:val="009D5A4D"/>
    <w:rsid w:val="009D6DFB"/>
    <w:rsid w:val="009E0810"/>
    <w:rsid w:val="009E2D99"/>
    <w:rsid w:val="009E3116"/>
    <w:rsid w:val="009E44E1"/>
    <w:rsid w:val="009E4EAE"/>
    <w:rsid w:val="009E5FF7"/>
    <w:rsid w:val="009E6358"/>
    <w:rsid w:val="009E6A7B"/>
    <w:rsid w:val="009E7A02"/>
    <w:rsid w:val="009F18BC"/>
    <w:rsid w:val="009F37A5"/>
    <w:rsid w:val="009F3881"/>
    <w:rsid w:val="009F3A01"/>
    <w:rsid w:val="009F3B82"/>
    <w:rsid w:val="009F418E"/>
    <w:rsid w:val="009F4F93"/>
    <w:rsid w:val="009F7056"/>
    <w:rsid w:val="009F746C"/>
    <w:rsid w:val="00A000BF"/>
    <w:rsid w:val="00A0182C"/>
    <w:rsid w:val="00A01AF9"/>
    <w:rsid w:val="00A01E42"/>
    <w:rsid w:val="00A01E76"/>
    <w:rsid w:val="00A02EF6"/>
    <w:rsid w:val="00A032DA"/>
    <w:rsid w:val="00A036CE"/>
    <w:rsid w:val="00A04570"/>
    <w:rsid w:val="00A04843"/>
    <w:rsid w:val="00A049E8"/>
    <w:rsid w:val="00A04DF1"/>
    <w:rsid w:val="00A05105"/>
    <w:rsid w:val="00A05934"/>
    <w:rsid w:val="00A0657A"/>
    <w:rsid w:val="00A07728"/>
    <w:rsid w:val="00A07CA1"/>
    <w:rsid w:val="00A110EE"/>
    <w:rsid w:val="00A13D38"/>
    <w:rsid w:val="00A13E4E"/>
    <w:rsid w:val="00A1440A"/>
    <w:rsid w:val="00A15BC4"/>
    <w:rsid w:val="00A15D03"/>
    <w:rsid w:val="00A161EC"/>
    <w:rsid w:val="00A166B0"/>
    <w:rsid w:val="00A175D3"/>
    <w:rsid w:val="00A22715"/>
    <w:rsid w:val="00A22E29"/>
    <w:rsid w:val="00A23A3A"/>
    <w:rsid w:val="00A23D30"/>
    <w:rsid w:val="00A23E87"/>
    <w:rsid w:val="00A24027"/>
    <w:rsid w:val="00A26383"/>
    <w:rsid w:val="00A266B5"/>
    <w:rsid w:val="00A274CA"/>
    <w:rsid w:val="00A306F7"/>
    <w:rsid w:val="00A30B29"/>
    <w:rsid w:val="00A324F1"/>
    <w:rsid w:val="00A3376C"/>
    <w:rsid w:val="00A33AE7"/>
    <w:rsid w:val="00A34608"/>
    <w:rsid w:val="00A34FAE"/>
    <w:rsid w:val="00A352FF"/>
    <w:rsid w:val="00A35530"/>
    <w:rsid w:val="00A3622A"/>
    <w:rsid w:val="00A36591"/>
    <w:rsid w:val="00A36C89"/>
    <w:rsid w:val="00A37345"/>
    <w:rsid w:val="00A404B0"/>
    <w:rsid w:val="00A41B8C"/>
    <w:rsid w:val="00A4292E"/>
    <w:rsid w:val="00A42983"/>
    <w:rsid w:val="00A42ED4"/>
    <w:rsid w:val="00A43159"/>
    <w:rsid w:val="00A439FE"/>
    <w:rsid w:val="00A44049"/>
    <w:rsid w:val="00A44D41"/>
    <w:rsid w:val="00A46311"/>
    <w:rsid w:val="00A46352"/>
    <w:rsid w:val="00A464C0"/>
    <w:rsid w:val="00A50A34"/>
    <w:rsid w:val="00A50AFD"/>
    <w:rsid w:val="00A5226E"/>
    <w:rsid w:val="00A52347"/>
    <w:rsid w:val="00A53395"/>
    <w:rsid w:val="00A53D19"/>
    <w:rsid w:val="00A53E9F"/>
    <w:rsid w:val="00A548D9"/>
    <w:rsid w:val="00A54C75"/>
    <w:rsid w:val="00A56362"/>
    <w:rsid w:val="00A56626"/>
    <w:rsid w:val="00A56D1F"/>
    <w:rsid w:val="00A57F63"/>
    <w:rsid w:val="00A610D3"/>
    <w:rsid w:val="00A61F31"/>
    <w:rsid w:val="00A624A0"/>
    <w:rsid w:val="00A634C5"/>
    <w:rsid w:val="00A637B0"/>
    <w:rsid w:val="00A63C40"/>
    <w:rsid w:val="00A64DB9"/>
    <w:rsid w:val="00A660E1"/>
    <w:rsid w:val="00A66673"/>
    <w:rsid w:val="00A66807"/>
    <w:rsid w:val="00A668C5"/>
    <w:rsid w:val="00A669C0"/>
    <w:rsid w:val="00A66DDD"/>
    <w:rsid w:val="00A67618"/>
    <w:rsid w:val="00A679B4"/>
    <w:rsid w:val="00A70B3B"/>
    <w:rsid w:val="00A717F6"/>
    <w:rsid w:val="00A73355"/>
    <w:rsid w:val="00A746F0"/>
    <w:rsid w:val="00A7471C"/>
    <w:rsid w:val="00A755BF"/>
    <w:rsid w:val="00A76006"/>
    <w:rsid w:val="00A770BB"/>
    <w:rsid w:val="00A777DD"/>
    <w:rsid w:val="00A8037A"/>
    <w:rsid w:val="00A805EE"/>
    <w:rsid w:val="00A80766"/>
    <w:rsid w:val="00A81119"/>
    <w:rsid w:val="00A82CA3"/>
    <w:rsid w:val="00A830CB"/>
    <w:rsid w:val="00A83DF1"/>
    <w:rsid w:val="00A83E76"/>
    <w:rsid w:val="00A85272"/>
    <w:rsid w:val="00A86336"/>
    <w:rsid w:val="00A87487"/>
    <w:rsid w:val="00A87AAF"/>
    <w:rsid w:val="00A909B1"/>
    <w:rsid w:val="00A915D9"/>
    <w:rsid w:val="00A91EBA"/>
    <w:rsid w:val="00A91EEE"/>
    <w:rsid w:val="00A92A40"/>
    <w:rsid w:val="00A92ED1"/>
    <w:rsid w:val="00A93140"/>
    <w:rsid w:val="00A94501"/>
    <w:rsid w:val="00A94E89"/>
    <w:rsid w:val="00A952B4"/>
    <w:rsid w:val="00A95A2A"/>
    <w:rsid w:val="00A95E51"/>
    <w:rsid w:val="00A96A7B"/>
    <w:rsid w:val="00A96F32"/>
    <w:rsid w:val="00AA04C7"/>
    <w:rsid w:val="00AA08A2"/>
    <w:rsid w:val="00AA198B"/>
    <w:rsid w:val="00AA19CE"/>
    <w:rsid w:val="00AA1B47"/>
    <w:rsid w:val="00AA1CBF"/>
    <w:rsid w:val="00AA1FE3"/>
    <w:rsid w:val="00AA2499"/>
    <w:rsid w:val="00AA24A1"/>
    <w:rsid w:val="00AA271D"/>
    <w:rsid w:val="00AA2F16"/>
    <w:rsid w:val="00AA35AA"/>
    <w:rsid w:val="00AA3B51"/>
    <w:rsid w:val="00AA40A7"/>
    <w:rsid w:val="00AA487E"/>
    <w:rsid w:val="00AA5DDA"/>
    <w:rsid w:val="00AA6758"/>
    <w:rsid w:val="00AA6A2A"/>
    <w:rsid w:val="00AA6FEA"/>
    <w:rsid w:val="00AA774A"/>
    <w:rsid w:val="00AA7811"/>
    <w:rsid w:val="00AB04E2"/>
    <w:rsid w:val="00AB06E5"/>
    <w:rsid w:val="00AB0A83"/>
    <w:rsid w:val="00AB2E0D"/>
    <w:rsid w:val="00AB2E34"/>
    <w:rsid w:val="00AB2FC8"/>
    <w:rsid w:val="00AB3669"/>
    <w:rsid w:val="00AB4F09"/>
    <w:rsid w:val="00AB53AB"/>
    <w:rsid w:val="00AB57FC"/>
    <w:rsid w:val="00AB62A0"/>
    <w:rsid w:val="00AB7619"/>
    <w:rsid w:val="00AC07C9"/>
    <w:rsid w:val="00AC0B0E"/>
    <w:rsid w:val="00AC1029"/>
    <w:rsid w:val="00AC178A"/>
    <w:rsid w:val="00AC1F61"/>
    <w:rsid w:val="00AC2697"/>
    <w:rsid w:val="00AC2B7E"/>
    <w:rsid w:val="00AC3346"/>
    <w:rsid w:val="00AC35AA"/>
    <w:rsid w:val="00AC5B36"/>
    <w:rsid w:val="00AC74BD"/>
    <w:rsid w:val="00AC7892"/>
    <w:rsid w:val="00AD02B9"/>
    <w:rsid w:val="00AD1783"/>
    <w:rsid w:val="00AD32A9"/>
    <w:rsid w:val="00AD4AA2"/>
    <w:rsid w:val="00AD54E8"/>
    <w:rsid w:val="00AD6108"/>
    <w:rsid w:val="00AD6D2F"/>
    <w:rsid w:val="00AD710B"/>
    <w:rsid w:val="00AD7187"/>
    <w:rsid w:val="00AD7481"/>
    <w:rsid w:val="00AD78FB"/>
    <w:rsid w:val="00AE1BE4"/>
    <w:rsid w:val="00AE1D54"/>
    <w:rsid w:val="00AE22BB"/>
    <w:rsid w:val="00AE2E96"/>
    <w:rsid w:val="00AE382E"/>
    <w:rsid w:val="00AE4E09"/>
    <w:rsid w:val="00AE680C"/>
    <w:rsid w:val="00AE6891"/>
    <w:rsid w:val="00AE6F76"/>
    <w:rsid w:val="00AE73BE"/>
    <w:rsid w:val="00AF0797"/>
    <w:rsid w:val="00AF17FC"/>
    <w:rsid w:val="00AF2A3E"/>
    <w:rsid w:val="00AF3E58"/>
    <w:rsid w:val="00AF4014"/>
    <w:rsid w:val="00AF4F65"/>
    <w:rsid w:val="00AF619E"/>
    <w:rsid w:val="00AF66A9"/>
    <w:rsid w:val="00AF7047"/>
    <w:rsid w:val="00AF75D0"/>
    <w:rsid w:val="00AF7CC5"/>
    <w:rsid w:val="00B01394"/>
    <w:rsid w:val="00B015D8"/>
    <w:rsid w:val="00B01869"/>
    <w:rsid w:val="00B01E0F"/>
    <w:rsid w:val="00B02C72"/>
    <w:rsid w:val="00B03647"/>
    <w:rsid w:val="00B03BE3"/>
    <w:rsid w:val="00B04FAE"/>
    <w:rsid w:val="00B04FD4"/>
    <w:rsid w:val="00B059B2"/>
    <w:rsid w:val="00B06F16"/>
    <w:rsid w:val="00B072B3"/>
    <w:rsid w:val="00B07E59"/>
    <w:rsid w:val="00B07E6F"/>
    <w:rsid w:val="00B120E4"/>
    <w:rsid w:val="00B12591"/>
    <w:rsid w:val="00B1395A"/>
    <w:rsid w:val="00B13CFC"/>
    <w:rsid w:val="00B13D90"/>
    <w:rsid w:val="00B14853"/>
    <w:rsid w:val="00B1497D"/>
    <w:rsid w:val="00B14ACB"/>
    <w:rsid w:val="00B14E1C"/>
    <w:rsid w:val="00B16112"/>
    <w:rsid w:val="00B16585"/>
    <w:rsid w:val="00B16AAF"/>
    <w:rsid w:val="00B16E53"/>
    <w:rsid w:val="00B17B6B"/>
    <w:rsid w:val="00B17BF2"/>
    <w:rsid w:val="00B17FE1"/>
    <w:rsid w:val="00B20ABC"/>
    <w:rsid w:val="00B20F60"/>
    <w:rsid w:val="00B217C8"/>
    <w:rsid w:val="00B21A03"/>
    <w:rsid w:val="00B21BFD"/>
    <w:rsid w:val="00B2244E"/>
    <w:rsid w:val="00B23490"/>
    <w:rsid w:val="00B24623"/>
    <w:rsid w:val="00B24DBD"/>
    <w:rsid w:val="00B24F60"/>
    <w:rsid w:val="00B260B2"/>
    <w:rsid w:val="00B262CE"/>
    <w:rsid w:val="00B266E7"/>
    <w:rsid w:val="00B27A90"/>
    <w:rsid w:val="00B30763"/>
    <w:rsid w:val="00B30AE8"/>
    <w:rsid w:val="00B32641"/>
    <w:rsid w:val="00B32ADB"/>
    <w:rsid w:val="00B32E8C"/>
    <w:rsid w:val="00B333A1"/>
    <w:rsid w:val="00B334C7"/>
    <w:rsid w:val="00B33EA6"/>
    <w:rsid w:val="00B34EFD"/>
    <w:rsid w:val="00B3558E"/>
    <w:rsid w:val="00B3580E"/>
    <w:rsid w:val="00B3596E"/>
    <w:rsid w:val="00B364E9"/>
    <w:rsid w:val="00B36B28"/>
    <w:rsid w:val="00B40221"/>
    <w:rsid w:val="00B40515"/>
    <w:rsid w:val="00B41ABF"/>
    <w:rsid w:val="00B41C3D"/>
    <w:rsid w:val="00B4479A"/>
    <w:rsid w:val="00B45389"/>
    <w:rsid w:val="00B45B36"/>
    <w:rsid w:val="00B473BA"/>
    <w:rsid w:val="00B4757D"/>
    <w:rsid w:val="00B504A9"/>
    <w:rsid w:val="00B505BA"/>
    <w:rsid w:val="00B5091B"/>
    <w:rsid w:val="00B50D8E"/>
    <w:rsid w:val="00B52F04"/>
    <w:rsid w:val="00B53B66"/>
    <w:rsid w:val="00B545A6"/>
    <w:rsid w:val="00B551C7"/>
    <w:rsid w:val="00B556DC"/>
    <w:rsid w:val="00B55AB2"/>
    <w:rsid w:val="00B55F8A"/>
    <w:rsid w:val="00B571F5"/>
    <w:rsid w:val="00B57245"/>
    <w:rsid w:val="00B574A2"/>
    <w:rsid w:val="00B57558"/>
    <w:rsid w:val="00B60637"/>
    <w:rsid w:val="00B60FDB"/>
    <w:rsid w:val="00B61DD0"/>
    <w:rsid w:val="00B6201A"/>
    <w:rsid w:val="00B623A5"/>
    <w:rsid w:val="00B629F7"/>
    <w:rsid w:val="00B62B85"/>
    <w:rsid w:val="00B64712"/>
    <w:rsid w:val="00B647FA"/>
    <w:rsid w:val="00B6535E"/>
    <w:rsid w:val="00B67661"/>
    <w:rsid w:val="00B7016B"/>
    <w:rsid w:val="00B70705"/>
    <w:rsid w:val="00B709B0"/>
    <w:rsid w:val="00B70DAF"/>
    <w:rsid w:val="00B719A0"/>
    <w:rsid w:val="00B737B9"/>
    <w:rsid w:val="00B73888"/>
    <w:rsid w:val="00B7398D"/>
    <w:rsid w:val="00B739F9"/>
    <w:rsid w:val="00B76ACB"/>
    <w:rsid w:val="00B76BB3"/>
    <w:rsid w:val="00B80F2C"/>
    <w:rsid w:val="00B81E73"/>
    <w:rsid w:val="00B81F8D"/>
    <w:rsid w:val="00B821A1"/>
    <w:rsid w:val="00B83656"/>
    <w:rsid w:val="00B84B85"/>
    <w:rsid w:val="00B84EDF"/>
    <w:rsid w:val="00B85D1E"/>
    <w:rsid w:val="00B86515"/>
    <w:rsid w:val="00B86B2B"/>
    <w:rsid w:val="00B87098"/>
    <w:rsid w:val="00B872AF"/>
    <w:rsid w:val="00B87574"/>
    <w:rsid w:val="00B87AC9"/>
    <w:rsid w:val="00B90A4F"/>
    <w:rsid w:val="00B9463F"/>
    <w:rsid w:val="00B9470C"/>
    <w:rsid w:val="00B951D1"/>
    <w:rsid w:val="00B95DF0"/>
    <w:rsid w:val="00BA016F"/>
    <w:rsid w:val="00BA2768"/>
    <w:rsid w:val="00BA4FC2"/>
    <w:rsid w:val="00BA5A02"/>
    <w:rsid w:val="00BA65C3"/>
    <w:rsid w:val="00BA6F7E"/>
    <w:rsid w:val="00BA724A"/>
    <w:rsid w:val="00BA7488"/>
    <w:rsid w:val="00BB0359"/>
    <w:rsid w:val="00BB12F8"/>
    <w:rsid w:val="00BB1453"/>
    <w:rsid w:val="00BB1A7B"/>
    <w:rsid w:val="00BB205C"/>
    <w:rsid w:val="00BB2999"/>
    <w:rsid w:val="00BB44E3"/>
    <w:rsid w:val="00BB4B2F"/>
    <w:rsid w:val="00BB5243"/>
    <w:rsid w:val="00BB5A05"/>
    <w:rsid w:val="00BC0F57"/>
    <w:rsid w:val="00BC1C3C"/>
    <w:rsid w:val="00BC1FBA"/>
    <w:rsid w:val="00BC249B"/>
    <w:rsid w:val="00BC3553"/>
    <w:rsid w:val="00BC3861"/>
    <w:rsid w:val="00BC4B4E"/>
    <w:rsid w:val="00BC5990"/>
    <w:rsid w:val="00BC5D9F"/>
    <w:rsid w:val="00BC5DF9"/>
    <w:rsid w:val="00BC7D20"/>
    <w:rsid w:val="00BD003D"/>
    <w:rsid w:val="00BD0B21"/>
    <w:rsid w:val="00BD0DB9"/>
    <w:rsid w:val="00BD0EE7"/>
    <w:rsid w:val="00BD470B"/>
    <w:rsid w:val="00BD4EB5"/>
    <w:rsid w:val="00BD6D8B"/>
    <w:rsid w:val="00BD6E8E"/>
    <w:rsid w:val="00BD6EFD"/>
    <w:rsid w:val="00BD7328"/>
    <w:rsid w:val="00BE086B"/>
    <w:rsid w:val="00BE0C60"/>
    <w:rsid w:val="00BE0EEC"/>
    <w:rsid w:val="00BE11C3"/>
    <w:rsid w:val="00BE126A"/>
    <w:rsid w:val="00BE1401"/>
    <w:rsid w:val="00BE1433"/>
    <w:rsid w:val="00BE2D0B"/>
    <w:rsid w:val="00BE33AA"/>
    <w:rsid w:val="00BE35BD"/>
    <w:rsid w:val="00BE3F0A"/>
    <w:rsid w:val="00BE479E"/>
    <w:rsid w:val="00BE733D"/>
    <w:rsid w:val="00BF0112"/>
    <w:rsid w:val="00BF147C"/>
    <w:rsid w:val="00BF1CFB"/>
    <w:rsid w:val="00BF20F5"/>
    <w:rsid w:val="00BF2CDC"/>
    <w:rsid w:val="00BF2E25"/>
    <w:rsid w:val="00BF321F"/>
    <w:rsid w:val="00BF40E6"/>
    <w:rsid w:val="00BF4127"/>
    <w:rsid w:val="00BF4AD8"/>
    <w:rsid w:val="00BF78B5"/>
    <w:rsid w:val="00BF7CDF"/>
    <w:rsid w:val="00C013D2"/>
    <w:rsid w:val="00C01995"/>
    <w:rsid w:val="00C01FB1"/>
    <w:rsid w:val="00C030E9"/>
    <w:rsid w:val="00C0355E"/>
    <w:rsid w:val="00C0395D"/>
    <w:rsid w:val="00C04658"/>
    <w:rsid w:val="00C049B5"/>
    <w:rsid w:val="00C065FF"/>
    <w:rsid w:val="00C06EB3"/>
    <w:rsid w:val="00C06EC9"/>
    <w:rsid w:val="00C0718B"/>
    <w:rsid w:val="00C0792B"/>
    <w:rsid w:val="00C10A57"/>
    <w:rsid w:val="00C10DB3"/>
    <w:rsid w:val="00C1114E"/>
    <w:rsid w:val="00C11CEE"/>
    <w:rsid w:val="00C123EF"/>
    <w:rsid w:val="00C12729"/>
    <w:rsid w:val="00C12C13"/>
    <w:rsid w:val="00C12D95"/>
    <w:rsid w:val="00C13858"/>
    <w:rsid w:val="00C15DBC"/>
    <w:rsid w:val="00C1664A"/>
    <w:rsid w:val="00C16ADF"/>
    <w:rsid w:val="00C16ECB"/>
    <w:rsid w:val="00C17962"/>
    <w:rsid w:val="00C17CE5"/>
    <w:rsid w:val="00C21CFA"/>
    <w:rsid w:val="00C231C8"/>
    <w:rsid w:val="00C23324"/>
    <w:rsid w:val="00C23AC7"/>
    <w:rsid w:val="00C23B41"/>
    <w:rsid w:val="00C241E5"/>
    <w:rsid w:val="00C2439F"/>
    <w:rsid w:val="00C26B76"/>
    <w:rsid w:val="00C274D2"/>
    <w:rsid w:val="00C30011"/>
    <w:rsid w:val="00C30A34"/>
    <w:rsid w:val="00C3138B"/>
    <w:rsid w:val="00C3173C"/>
    <w:rsid w:val="00C31815"/>
    <w:rsid w:val="00C318F8"/>
    <w:rsid w:val="00C31D56"/>
    <w:rsid w:val="00C32716"/>
    <w:rsid w:val="00C332E8"/>
    <w:rsid w:val="00C33676"/>
    <w:rsid w:val="00C34E7F"/>
    <w:rsid w:val="00C35CA6"/>
    <w:rsid w:val="00C35D48"/>
    <w:rsid w:val="00C363F4"/>
    <w:rsid w:val="00C366FB"/>
    <w:rsid w:val="00C37600"/>
    <w:rsid w:val="00C37AF5"/>
    <w:rsid w:val="00C42758"/>
    <w:rsid w:val="00C428BE"/>
    <w:rsid w:val="00C43B92"/>
    <w:rsid w:val="00C455B2"/>
    <w:rsid w:val="00C45AB3"/>
    <w:rsid w:val="00C47DC4"/>
    <w:rsid w:val="00C47E7B"/>
    <w:rsid w:val="00C47EEF"/>
    <w:rsid w:val="00C501C2"/>
    <w:rsid w:val="00C525A8"/>
    <w:rsid w:val="00C52E45"/>
    <w:rsid w:val="00C52ECA"/>
    <w:rsid w:val="00C53164"/>
    <w:rsid w:val="00C54E0E"/>
    <w:rsid w:val="00C56790"/>
    <w:rsid w:val="00C57569"/>
    <w:rsid w:val="00C579FD"/>
    <w:rsid w:val="00C6022F"/>
    <w:rsid w:val="00C604B8"/>
    <w:rsid w:val="00C60AB5"/>
    <w:rsid w:val="00C614E3"/>
    <w:rsid w:val="00C61583"/>
    <w:rsid w:val="00C62DC9"/>
    <w:rsid w:val="00C64DDE"/>
    <w:rsid w:val="00C6530F"/>
    <w:rsid w:val="00C66B55"/>
    <w:rsid w:val="00C67442"/>
    <w:rsid w:val="00C67812"/>
    <w:rsid w:val="00C706FE"/>
    <w:rsid w:val="00C71302"/>
    <w:rsid w:val="00C7165B"/>
    <w:rsid w:val="00C72D22"/>
    <w:rsid w:val="00C72DC3"/>
    <w:rsid w:val="00C72E65"/>
    <w:rsid w:val="00C733CF"/>
    <w:rsid w:val="00C73629"/>
    <w:rsid w:val="00C73906"/>
    <w:rsid w:val="00C748C5"/>
    <w:rsid w:val="00C74DE1"/>
    <w:rsid w:val="00C761C1"/>
    <w:rsid w:val="00C76B0A"/>
    <w:rsid w:val="00C77990"/>
    <w:rsid w:val="00C820DF"/>
    <w:rsid w:val="00C82B59"/>
    <w:rsid w:val="00C82FE9"/>
    <w:rsid w:val="00C8358D"/>
    <w:rsid w:val="00C83C03"/>
    <w:rsid w:val="00C85D6B"/>
    <w:rsid w:val="00C86F86"/>
    <w:rsid w:val="00C910EF"/>
    <w:rsid w:val="00C911CA"/>
    <w:rsid w:val="00C912FA"/>
    <w:rsid w:val="00C91A88"/>
    <w:rsid w:val="00C91BD1"/>
    <w:rsid w:val="00C91FC3"/>
    <w:rsid w:val="00C92051"/>
    <w:rsid w:val="00C929E5"/>
    <w:rsid w:val="00C92BFE"/>
    <w:rsid w:val="00C938E6"/>
    <w:rsid w:val="00C9396B"/>
    <w:rsid w:val="00C93BA1"/>
    <w:rsid w:val="00C93E8E"/>
    <w:rsid w:val="00C94356"/>
    <w:rsid w:val="00C94B8D"/>
    <w:rsid w:val="00C952F1"/>
    <w:rsid w:val="00C95CA9"/>
    <w:rsid w:val="00C95CE2"/>
    <w:rsid w:val="00C96037"/>
    <w:rsid w:val="00C96259"/>
    <w:rsid w:val="00C96B39"/>
    <w:rsid w:val="00C9713A"/>
    <w:rsid w:val="00C971FF"/>
    <w:rsid w:val="00CA1016"/>
    <w:rsid w:val="00CA1851"/>
    <w:rsid w:val="00CA2205"/>
    <w:rsid w:val="00CA2E37"/>
    <w:rsid w:val="00CA3743"/>
    <w:rsid w:val="00CA4E77"/>
    <w:rsid w:val="00CA58EF"/>
    <w:rsid w:val="00CA654E"/>
    <w:rsid w:val="00CA670A"/>
    <w:rsid w:val="00CB0109"/>
    <w:rsid w:val="00CB0144"/>
    <w:rsid w:val="00CB05EC"/>
    <w:rsid w:val="00CB1B5A"/>
    <w:rsid w:val="00CB1CD5"/>
    <w:rsid w:val="00CB24F0"/>
    <w:rsid w:val="00CB3BCC"/>
    <w:rsid w:val="00CB3F11"/>
    <w:rsid w:val="00CB493A"/>
    <w:rsid w:val="00CB54D7"/>
    <w:rsid w:val="00CB5681"/>
    <w:rsid w:val="00CB5E52"/>
    <w:rsid w:val="00CB68C7"/>
    <w:rsid w:val="00CB7261"/>
    <w:rsid w:val="00CB76B0"/>
    <w:rsid w:val="00CB7AE4"/>
    <w:rsid w:val="00CB7B41"/>
    <w:rsid w:val="00CC0DCC"/>
    <w:rsid w:val="00CC1923"/>
    <w:rsid w:val="00CC3552"/>
    <w:rsid w:val="00CC3B56"/>
    <w:rsid w:val="00CC4D3F"/>
    <w:rsid w:val="00CC51C4"/>
    <w:rsid w:val="00CC57A9"/>
    <w:rsid w:val="00CC58B1"/>
    <w:rsid w:val="00CC6328"/>
    <w:rsid w:val="00CC64C7"/>
    <w:rsid w:val="00CC68D8"/>
    <w:rsid w:val="00CC6CA2"/>
    <w:rsid w:val="00CC789B"/>
    <w:rsid w:val="00CC7A86"/>
    <w:rsid w:val="00CD1B9B"/>
    <w:rsid w:val="00CD224D"/>
    <w:rsid w:val="00CD3281"/>
    <w:rsid w:val="00CD3DE6"/>
    <w:rsid w:val="00CD3F7D"/>
    <w:rsid w:val="00CD4AE7"/>
    <w:rsid w:val="00CD6428"/>
    <w:rsid w:val="00CD6C2E"/>
    <w:rsid w:val="00CD7548"/>
    <w:rsid w:val="00CE1599"/>
    <w:rsid w:val="00CE1BD4"/>
    <w:rsid w:val="00CE259E"/>
    <w:rsid w:val="00CE2F1C"/>
    <w:rsid w:val="00CE3024"/>
    <w:rsid w:val="00CE4A04"/>
    <w:rsid w:val="00CE4C7B"/>
    <w:rsid w:val="00CE5C80"/>
    <w:rsid w:val="00CE6C3D"/>
    <w:rsid w:val="00CE6FEF"/>
    <w:rsid w:val="00CE72C3"/>
    <w:rsid w:val="00CE7358"/>
    <w:rsid w:val="00CE760E"/>
    <w:rsid w:val="00CF0FC5"/>
    <w:rsid w:val="00CF117E"/>
    <w:rsid w:val="00CF14FF"/>
    <w:rsid w:val="00CF244C"/>
    <w:rsid w:val="00CF26B4"/>
    <w:rsid w:val="00CF280F"/>
    <w:rsid w:val="00CF34B9"/>
    <w:rsid w:val="00CF363C"/>
    <w:rsid w:val="00CF373D"/>
    <w:rsid w:val="00CF381A"/>
    <w:rsid w:val="00CF3970"/>
    <w:rsid w:val="00CF47D8"/>
    <w:rsid w:val="00CF6BE0"/>
    <w:rsid w:val="00CF6DDC"/>
    <w:rsid w:val="00CF6E6F"/>
    <w:rsid w:val="00D00117"/>
    <w:rsid w:val="00D00B5A"/>
    <w:rsid w:val="00D00E69"/>
    <w:rsid w:val="00D013D6"/>
    <w:rsid w:val="00D014FD"/>
    <w:rsid w:val="00D015D1"/>
    <w:rsid w:val="00D01A66"/>
    <w:rsid w:val="00D0250F"/>
    <w:rsid w:val="00D02565"/>
    <w:rsid w:val="00D035AB"/>
    <w:rsid w:val="00D06D68"/>
    <w:rsid w:val="00D07476"/>
    <w:rsid w:val="00D07742"/>
    <w:rsid w:val="00D11C80"/>
    <w:rsid w:val="00D11E9E"/>
    <w:rsid w:val="00D12B8D"/>
    <w:rsid w:val="00D162E1"/>
    <w:rsid w:val="00D16945"/>
    <w:rsid w:val="00D16961"/>
    <w:rsid w:val="00D2121A"/>
    <w:rsid w:val="00D22AD1"/>
    <w:rsid w:val="00D22B9F"/>
    <w:rsid w:val="00D22F8D"/>
    <w:rsid w:val="00D2305D"/>
    <w:rsid w:val="00D2365D"/>
    <w:rsid w:val="00D23E0B"/>
    <w:rsid w:val="00D24184"/>
    <w:rsid w:val="00D24D16"/>
    <w:rsid w:val="00D25F41"/>
    <w:rsid w:val="00D261EA"/>
    <w:rsid w:val="00D26213"/>
    <w:rsid w:val="00D2643F"/>
    <w:rsid w:val="00D269B4"/>
    <w:rsid w:val="00D26F8E"/>
    <w:rsid w:val="00D27E52"/>
    <w:rsid w:val="00D3065F"/>
    <w:rsid w:val="00D31051"/>
    <w:rsid w:val="00D326B4"/>
    <w:rsid w:val="00D33B82"/>
    <w:rsid w:val="00D34069"/>
    <w:rsid w:val="00D37601"/>
    <w:rsid w:val="00D41A63"/>
    <w:rsid w:val="00D41AF8"/>
    <w:rsid w:val="00D420EF"/>
    <w:rsid w:val="00D44616"/>
    <w:rsid w:val="00D45C66"/>
    <w:rsid w:val="00D509BA"/>
    <w:rsid w:val="00D523CC"/>
    <w:rsid w:val="00D52AD0"/>
    <w:rsid w:val="00D53736"/>
    <w:rsid w:val="00D53860"/>
    <w:rsid w:val="00D53B9F"/>
    <w:rsid w:val="00D540E6"/>
    <w:rsid w:val="00D54993"/>
    <w:rsid w:val="00D55E72"/>
    <w:rsid w:val="00D56C41"/>
    <w:rsid w:val="00D56CE3"/>
    <w:rsid w:val="00D57A54"/>
    <w:rsid w:val="00D57EBD"/>
    <w:rsid w:val="00D605B5"/>
    <w:rsid w:val="00D60615"/>
    <w:rsid w:val="00D6264C"/>
    <w:rsid w:val="00D62750"/>
    <w:rsid w:val="00D62E28"/>
    <w:rsid w:val="00D62E6B"/>
    <w:rsid w:val="00D63A84"/>
    <w:rsid w:val="00D6509A"/>
    <w:rsid w:val="00D6511B"/>
    <w:rsid w:val="00D653A9"/>
    <w:rsid w:val="00D65512"/>
    <w:rsid w:val="00D66A9A"/>
    <w:rsid w:val="00D66C87"/>
    <w:rsid w:val="00D6700C"/>
    <w:rsid w:val="00D677F4"/>
    <w:rsid w:val="00D67A9E"/>
    <w:rsid w:val="00D70195"/>
    <w:rsid w:val="00D7033D"/>
    <w:rsid w:val="00D70DD5"/>
    <w:rsid w:val="00D72201"/>
    <w:rsid w:val="00D7252F"/>
    <w:rsid w:val="00D72B42"/>
    <w:rsid w:val="00D73AE0"/>
    <w:rsid w:val="00D7560B"/>
    <w:rsid w:val="00D75D5C"/>
    <w:rsid w:val="00D75F5B"/>
    <w:rsid w:val="00D767E1"/>
    <w:rsid w:val="00D76F39"/>
    <w:rsid w:val="00D808A5"/>
    <w:rsid w:val="00D808EF"/>
    <w:rsid w:val="00D80A24"/>
    <w:rsid w:val="00D80F19"/>
    <w:rsid w:val="00D80F71"/>
    <w:rsid w:val="00D8125B"/>
    <w:rsid w:val="00D81DD4"/>
    <w:rsid w:val="00D83D6E"/>
    <w:rsid w:val="00D840A2"/>
    <w:rsid w:val="00D847B3"/>
    <w:rsid w:val="00D84A37"/>
    <w:rsid w:val="00D84D4E"/>
    <w:rsid w:val="00D85378"/>
    <w:rsid w:val="00D866CB"/>
    <w:rsid w:val="00D86961"/>
    <w:rsid w:val="00D86968"/>
    <w:rsid w:val="00D86AD4"/>
    <w:rsid w:val="00D86C17"/>
    <w:rsid w:val="00D871E2"/>
    <w:rsid w:val="00D90858"/>
    <w:rsid w:val="00D9491F"/>
    <w:rsid w:val="00D958A8"/>
    <w:rsid w:val="00D95D4E"/>
    <w:rsid w:val="00D95D92"/>
    <w:rsid w:val="00D9606F"/>
    <w:rsid w:val="00D963F4"/>
    <w:rsid w:val="00DA001D"/>
    <w:rsid w:val="00DA0A10"/>
    <w:rsid w:val="00DA1D66"/>
    <w:rsid w:val="00DA22FC"/>
    <w:rsid w:val="00DA329D"/>
    <w:rsid w:val="00DA5AA0"/>
    <w:rsid w:val="00DA621A"/>
    <w:rsid w:val="00DA6824"/>
    <w:rsid w:val="00DA7E0D"/>
    <w:rsid w:val="00DB06B1"/>
    <w:rsid w:val="00DB0D31"/>
    <w:rsid w:val="00DB0E0A"/>
    <w:rsid w:val="00DB2B65"/>
    <w:rsid w:val="00DB4271"/>
    <w:rsid w:val="00DB42DC"/>
    <w:rsid w:val="00DB4841"/>
    <w:rsid w:val="00DB5C3C"/>
    <w:rsid w:val="00DB6637"/>
    <w:rsid w:val="00DB7517"/>
    <w:rsid w:val="00DB79D2"/>
    <w:rsid w:val="00DC053D"/>
    <w:rsid w:val="00DC1318"/>
    <w:rsid w:val="00DC1880"/>
    <w:rsid w:val="00DC19BE"/>
    <w:rsid w:val="00DC1B2C"/>
    <w:rsid w:val="00DC1EBF"/>
    <w:rsid w:val="00DC33F3"/>
    <w:rsid w:val="00DC39B0"/>
    <w:rsid w:val="00DC4416"/>
    <w:rsid w:val="00DC4F2C"/>
    <w:rsid w:val="00DC5669"/>
    <w:rsid w:val="00DC5755"/>
    <w:rsid w:val="00DC58A3"/>
    <w:rsid w:val="00DC5A39"/>
    <w:rsid w:val="00DC5F16"/>
    <w:rsid w:val="00DC6F10"/>
    <w:rsid w:val="00DC7242"/>
    <w:rsid w:val="00DD00FF"/>
    <w:rsid w:val="00DD02A0"/>
    <w:rsid w:val="00DD1E03"/>
    <w:rsid w:val="00DD3151"/>
    <w:rsid w:val="00DD3BE4"/>
    <w:rsid w:val="00DD424A"/>
    <w:rsid w:val="00DD43DF"/>
    <w:rsid w:val="00DD4FC9"/>
    <w:rsid w:val="00DD5C08"/>
    <w:rsid w:val="00DD61DC"/>
    <w:rsid w:val="00DD725E"/>
    <w:rsid w:val="00DE0473"/>
    <w:rsid w:val="00DE0E5B"/>
    <w:rsid w:val="00DE1058"/>
    <w:rsid w:val="00DE1486"/>
    <w:rsid w:val="00DE154D"/>
    <w:rsid w:val="00DE34F6"/>
    <w:rsid w:val="00DE351D"/>
    <w:rsid w:val="00DE41FD"/>
    <w:rsid w:val="00DE579C"/>
    <w:rsid w:val="00DE5DA4"/>
    <w:rsid w:val="00DE60CF"/>
    <w:rsid w:val="00DE6757"/>
    <w:rsid w:val="00DE70D1"/>
    <w:rsid w:val="00DF05F8"/>
    <w:rsid w:val="00DF0B5E"/>
    <w:rsid w:val="00DF0EEA"/>
    <w:rsid w:val="00DF15E2"/>
    <w:rsid w:val="00DF2AA3"/>
    <w:rsid w:val="00DF31A2"/>
    <w:rsid w:val="00DF3296"/>
    <w:rsid w:val="00DF3A21"/>
    <w:rsid w:val="00DF5E35"/>
    <w:rsid w:val="00DF5FC5"/>
    <w:rsid w:val="00DF6827"/>
    <w:rsid w:val="00DF7497"/>
    <w:rsid w:val="00DF77E3"/>
    <w:rsid w:val="00DF7C94"/>
    <w:rsid w:val="00DF7CA8"/>
    <w:rsid w:val="00DF7EAF"/>
    <w:rsid w:val="00E01226"/>
    <w:rsid w:val="00E02482"/>
    <w:rsid w:val="00E02EDC"/>
    <w:rsid w:val="00E03311"/>
    <w:rsid w:val="00E03692"/>
    <w:rsid w:val="00E03752"/>
    <w:rsid w:val="00E043C4"/>
    <w:rsid w:val="00E063F1"/>
    <w:rsid w:val="00E06735"/>
    <w:rsid w:val="00E06CEC"/>
    <w:rsid w:val="00E07432"/>
    <w:rsid w:val="00E078E1"/>
    <w:rsid w:val="00E11325"/>
    <w:rsid w:val="00E11F88"/>
    <w:rsid w:val="00E13828"/>
    <w:rsid w:val="00E148E1"/>
    <w:rsid w:val="00E16030"/>
    <w:rsid w:val="00E172B0"/>
    <w:rsid w:val="00E17D89"/>
    <w:rsid w:val="00E21442"/>
    <w:rsid w:val="00E21693"/>
    <w:rsid w:val="00E21983"/>
    <w:rsid w:val="00E21C67"/>
    <w:rsid w:val="00E21ECE"/>
    <w:rsid w:val="00E22DF1"/>
    <w:rsid w:val="00E2304C"/>
    <w:rsid w:val="00E255E3"/>
    <w:rsid w:val="00E25685"/>
    <w:rsid w:val="00E267E9"/>
    <w:rsid w:val="00E26C7A"/>
    <w:rsid w:val="00E26CC9"/>
    <w:rsid w:val="00E27AE4"/>
    <w:rsid w:val="00E27C91"/>
    <w:rsid w:val="00E31DC1"/>
    <w:rsid w:val="00E337B2"/>
    <w:rsid w:val="00E34047"/>
    <w:rsid w:val="00E34985"/>
    <w:rsid w:val="00E3513D"/>
    <w:rsid w:val="00E3525F"/>
    <w:rsid w:val="00E3590E"/>
    <w:rsid w:val="00E37674"/>
    <w:rsid w:val="00E376C3"/>
    <w:rsid w:val="00E37D01"/>
    <w:rsid w:val="00E40A44"/>
    <w:rsid w:val="00E40FB7"/>
    <w:rsid w:val="00E41537"/>
    <w:rsid w:val="00E446F4"/>
    <w:rsid w:val="00E44A4C"/>
    <w:rsid w:val="00E45BFC"/>
    <w:rsid w:val="00E4756E"/>
    <w:rsid w:val="00E4777E"/>
    <w:rsid w:val="00E478CC"/>
    <w:rsid w:val="00E50332"/>
    <w:rsid w:val="00E50EB0"/>
    <w:rsid w:val="00E51002"/>
    <w:rsid w:val="00E5116D"/>
    <w:rsid w:val="00E550C0"/>
    <w:rsid w:val="00E5537C"/>
    <w:rsid w:val="00E5793D"/>
    <w:rsid w:val="00E60404"/>
    <w:rsid w:val="00E6122F"/>
    <w:rsid w:val="00E61B63"/>
    <w:rsid w:val="00E623D9"/>
    <w:rsid w:val="00E624CE"/>
    <w:rsid w:val="00E62839"/>
    <w:rsid w:val="00E62EE7"/>
    <w:rsid w:val="00E631C2"/>
    <w:rsid w:val="00E66AC5"/>
    <w:rsid w:val="00E71363"/>
    <w:rsid w:val="00E71DC6"/>
    <w:rsid w:val="00E7249A"/>
    <w:rsid w:val="00E726CC"/>
    <w:rsid w:val="00E72865"/>
    <w:rsid w:val="00E73154"/>
    <w:rsid w:val="00E73F7C"/>
    <w:rsid w:val="00E74EC1"/>
    <w:rsid w:val="00E75982"/>
    <w:rsid w:val="00E77766"/>
    <w:rsid w:val="00E7798A"/>
    <w:rsid w:val="00E80040"/>
    <w:rsid w:val="00E80913"/>
    <w:rsid w:val="00E80A9C"/>
    <w:rsid w:val="00E81393"/>
    <w:rsid w:val="00E83A87"/>
    <w:rsid w:val="00E8471B"/>
    <w:rsid w:val="00E84F73"/>
    <w:rsid w:val="00E85D73"/>
    <w:rsid w:val="00E86B76"/>
    <w:rsid w:val="00E86E53"/>
    <w:rsid w:val="00E8702A"/>
    <w:rsid w:val="00E874E1"/>
    <w:rsid w:val="00E90A7B"/>
    <w:rsid w:val="00E90CE5"/>
    <w:rsid w:val="00E91029"/>
    <w:rsid w:val="00E91DBD"/>
    <w:rsid w:val="00E92229"/>
    <w:rsid w:val="00E92A31"/>
    <w:rsid w:val="00E9358A"/>
    <w:rsid w:val="00E93C58"/>
    <w:rsid w:val="00E952BF"/>
    <w:rsid w:val="00E96081"/>
    <w:rsid w:val="00E963CC"/>
    <w:rsid w:val="00E969E7"/>
    <w:rsid w:val="00E97213"/>
    <w:rsid w:val="00EA0103"/>
    <w:rsid w:val="00EA0292"/>
    <w:rsid w:val="00EA1994"/>
    <w:rsid w:val="00EA20CB"/>
    <w:rsid w:val="00EA3320"/>
    <w:rsid w:val="00EA35F2"/>
    <w:rsid w:val="00EA3CC2"/>
    <w:rsid w:val="00EA3F3E"/>
    <w:rsid w:val="00EA5232"/>
    <w:rsid w:val="00EA5987"/>
    <w:rsid w:val="00EA6591"/>
    <w:rsid w:val="00EA65A5"/>
    <w:rsid w:val="00EA67EB"/>
    <w:rsid w:val="00EA7206"/>
    <w:rsid w:val="00EB23D0"/>
    <w:rsid w:val="00EB2F34"/>
    <w:rsid w:val="00EB591A"/>
    <w:rsid w:val="00EB5C6A"/>
    <w:rsid w:val="00EB5F79"/>
    <w:rsid w:val="00EB7353"/>
    <w:rsid w:val="00EB7C7B"/>
    <w:rsid w:val="00EC3229"/>
    <w:rsid w:val="00EC3250"/>
    <w:rsid w:val="00EC35F7"/>
    <w:rsid w:val="00EC39EB"/>
    <w:rsid w:val="00EC3D2A"/>
    <w:rsid w:val="00EC3D53"/>
    <w:rsid w:val="00EC5CB6"/>
    <w:rsid w:val="00EC63BF"/>
    <w:rsid w:val="00EC64E2"/>
    <w:rsid w:val="00EC7347"/>
    <w:rsid w:val="00ED1394"/>
    <w:rsid w:val="00ED1BBF"/>
    <w:rsid w:val="00ED2A9F"/>
    <w:rsid w:val="00ED466A"/>
    <w:rsid w:val="00ED4C47"/>
    <w:rsid w:val="00ED625B"/>
    <w:rsid w:val="00ED680B"/>
    <w:rsid w:val="00ED7426"/>
    <w:rsid w:val="00ED7B0A"/>
    <w:rsid w:val="00EE0FFF"/>
    <w:rsid w:val="00EE1C40"/>
    <w:rsid w:val="00EE29CF"/>
    <w:rsid w:val="00EE330B"/>
    <w:rsid w:val="00EE39C6"/>
    <w:rsid w:val="00EE3B38"/>
    <w:rsid w:val="00EE5D4F"/>
    <w:rsid w:val="00EE65D5"/>
    <w:rsid w:val="00EE6A16"/>
    <w:rsid w:val="00EE6F1A"/>
    <w:rsid w:val="00EF1D58"/>
    <w:rsid w:val="00EF219A"/>
    <w:rsid w:val="00EF2971"/>
    <w:rsid w:val="00EF31B4"/>
    <w:rsid w:val="00EF35A7"/>
    <w:rsid w:val="00EF3C45"/>
    <w:rsid w:val="00EF4B18"/>
    <w:rsid w:val="00EF4D6C"/>
    <w:rsid w:val="00EF53B9"/>
    <w:rsid w:val="00EF5E00"/>
    <w:rsid w:val="00EF5FC9"/>
    <w:rsid w:val="00F00BA0"/>
    <w:rsid w:val="00F00E68"/>
    <w:rsid w:val="00F016F7"/>
    <w:rsid w:val="00F02D9C"/>
    <w:rsid w:val="00F036C1"/>
    <w:rsid w:val="00F03CDF"/>
    <w:rsid w:val="00F0449D"/>
    <w:rsid w:val="00F0661F"/>
    <w:rsid w:val="00F07280"/>
    <w:rsid w:val="00F10377"/>
    <w:rsid w:val="00F11BD1"/>
    <w:rsid w:val="00F11F3F"/>
    <w:rsid w:val="00F12244"/>
    <w:rsid w:val="00F1290F"/>
    <w:rsid w:val="00F131DA"/>
    <w:rsid w:val="00F13605"/>
    <w:rsid w:val="00F13A23"/>
    <w:rsid w:val="00F13E54"/>
    <w:rsid w:val="00F14914"/>
    <w:rsid w:val="00F14979"/>
    <w:rsid w:val="00F14FA6"/>
    <w:rsid w:val="00F21369"/>
    <w:rsid w:val="00F22BB8"/>
    <w:rsid w:val="00F23559"/>
    <w:rsid w:val="00F24FAC"/>
    <w:rsid w:val="00F25131"/>
    <w:rsid w:val="00F25DE5"/>
    <w:rsid w:val="00F25E23"/>
    <w:rsid w:val="00F26554"/>
    <w:rsid w:val="00F265D0"/>
    <w:rsid w:val="00F26E24"/>
    <w:rsid w:val="00F30ECD"/>
    <w:rsid w:val="00F32336"/>
    <w:rsid w:val="00F32CBD"/>
    <w:rsid w:val="00F330C7"/>
    <w:rsid w:val="00F340ED"/>
    <w:rsid w:val="00F3423A"/>
    <w:rsid w:val="00F3453E"/>
    <w:rsid w:val="00F3463C"/>
    <w:rsid w:val="00F34A8C"/>
    <w:rsid w:val="00F3519D"/>
    <w:rsid w:val="00F358DF"/>
    <w:rsid w:val="00F36894"/>
    <w:rsid w:val="00F37FD3"/>
    <w:rsid w:val="00F40929"/>
    <w:rsid w:val="00F457E2"/>
    <w:rsid w:val="00F45DB6"/>
    <w:rsid w:val="00F473BD"/>
    <w:rsid w:val="00F502D9"/>
    <w:rsid w:val="00F50D08"/>
    <w:rsid w:val="00F513E2"/>
    <w:rsid w:val="00F526CE"/>
    <w:rsid w:val="00F52E0F"/>
    <w:rsid w:val="00F53AE1"/>
    <w:rsid w:val="00F54C44"/>
    <w:rsid w:val="00F54E4F"/>
    <w:rsid w:val="00F5504E"/>
    <w:rsid w:val="00F552B3"/>
    <w:rsid w:val="00F55EB6"/>
    <w:rsid w:val="00F56D0F"/>
    <w:rsid w:val="00F56DD7"/>
    <w:rsid w:val="00F57C06"/>
    <w:rsid w:val="00F60BB6"/>
    <w:rsid w:val="00F63047"/>
    <w:rsid w:val="00F6328C"/>
    <w:rsid w:val="00F63797"/>
    <w:rsid w:val="00F66330"/>
    <w:rsid w:val="00F673C1"/>
    <w:rsid w:val="00F6781E"/>
    <w:rsid w:val="00F67E8C"/>
    <w:rsid w:val="00F70944"/>
    <w:rsid w:val="00F71567"/>
    <w:rsid w:val="00F71A94"/>
    <w:rsid w:val="00F71B58"/>
    <w:rsid w:val="00F727C6"/>
    <w:rsid w:val="00F7283F"/>
    <w:rsid w:val="00F72998"/>
    <w:rsid w:val="00F72C15"/>
    <w:rsid w:val="00F7346D"/>
    <w:rsid w:val="00F74C76"/>
    <w:rsid w:val="00F7762D"/>
    <w:rsid w:val="00F77703"/>
    <w:rsid w:val="00F77A7F"/>
    <w:rsid w:val="00F82504"/>
    <w:rsid w:val="00F8349B"/>
    <w:rsid w:val="00F847C5"/>
    <w:rsid w:val="00F84B8A"/>
    <w:rsid w:val="00F87B44"/>
    <w:rsid w:val="00F90990"/>
    <w:rsid w:val="00F91371"/>
    <w:rsid w:val="00F91E1D"/>
    <w:rsid w:val="00F92B22"/>
    <w:rsid w:val="00F944E2"/>
    <w:rsid w:val="00F94628"/>
    <w:rsid w:val="00F94E4E"/>
    <w:rsid w:val="00F94EA6"/>
    <w:rsid w:val="00F95EE3"/>
    <w:rsid w:val="00F9758D"/>
    <w:rsid w:val="00F97A01"/>
    <w:rsid w:val="00FA0300"/>
    <w:rsid w:val="00FA058B"/>
    <w:rsid w:val="00FA0738"/>
    <w:rsid w:val="00FA142C"/>
    <w:rsid w:val="00FA1F5D"/>
    <w:rsid w:val="00FA2BAD"/>
    <w:rsid w:val="00FA3403"/>
    <w:rsid w:val="00FA4657"/>
    <w:rsid w:val="00FA4D46"/>
    <w:rsid w:val="00FA582A"/>
    <w:rsid w:val="00FA6301"/>
    <w:rsid w:val="00FB046B"/>
    <w:rsid w:val="00FB0576"/>
    <w:rsid w:val="00FB09D2"/>
    <w:rsid w:val="00FB0DDE"/>
    <w:rsid w:val="00FB13AB"/>
    <w:rsid w:val="00FB13C6"/>
    <w:rsid w:val="00FB1570"/>
    <w:rsid w:val="00FB1678"/>
    <w:rsid w:val="00FB1E79"/>
    <w:rsid w:val="00FB2346"/>
    <w:rsid w:val="00FB2741"/>
    <w:rsid w:val="00FB2C72"/>
    <w:rsid w:val="00FB301B"/>
    <w:rsid w:val="00FB3416"/>
    <w:rsid w:val="00FB3EB4"/>
    <w:rsid w:val="00FB401A"/>
    <w:rsid w:val="00FB401C"/>
    <w:rsid w:val="00FB4A6B"/>
    <w:rsid w:val="00FB50A1"/>
    <w:rsid w:val="00FB630F"/>
    <w:rsid w:val="00FB6A74"/>
    <w:rsid w:val="00FB7438"/>
    <w:rsid w:val="00FC05CE"/>
    <w:rsid w:val="00FC0B6B"/>
    <w:rsid w:val="00FC2458"/>
    <w:rsid w:val="00FC3247"/>
    <w:rsid w:val="00FC3867"/>
    <w:rsid w:val="00FC42F1"/>
    <w:rsid w:val="00FC43B5"/>
    <w:rsid w:val="00FC5321"/>
    <w:rsid w:val="00FC6335"/>
    <w:rsid w:val="00FC6A58"/>
    <w:rsid w:val="00FC6E7A"/>
    <w:rsid w:val="00FC6EDE"/>
    <w:rsid w:val="00FC7E18"/>
    <w:rsid w:val="00FD1CB4"/>
    <w:rsid w:val="00FD211F"/>
    <w:rsid w:val="00FD22BD"/>
    <w:rsid w:val="00FD2A7B"/>
    <w:rsid w:val="00FD4A8D"/>
    <w:rsid w:val="00FD4D8F"/>
    <w:rsid w:val="00FD58B8"/>
    <w:rsid w:val="00FD598F"/>
    <w:rsid w:val="00FD64DA"/>
    <w:rsid w:val="00FD6E9B"/>
    <w:rsid w:val="00FD7095"/>
    <w:rsid w:val="00FD7100"/>
    <w:rsid w:val="00FE19AF"/>
    <w:rsid w:val="00FE2521"/>
    <w:rsid w:val="00FE3C47"/>
    <w:rsid w:val="00FE4376"/>
    <w:rsid w:val="00FE4B49"/>
    <w:rsid w:val="00FE4C84"/>
    <w:rsid w:val="00FF0561"/>
    <w:rsid w:val="00FF0D9A"/>
    <w:rsid w:val="00FF1435"/>
    <w:rsid w:val="00FF52B9"/>
    <w:rsid w:val="00FF536C"/>
    <w:rsid w:val="00FF59E5"/>
    <w:rsid w:val="00FF6ECF"/>
    <w:rsid w:val="133BC8AD"/>
    <w:rsid w:val="7812B244"/>
    <w:rsid w:val="781873C0"/>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14:docId w14:val="3B34804F"/>
  <w15:docId w15:val="{358E0602-DB74-4A07-BF1B-1D07018E026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mbria" w:eastAsia="Times New Roman" w:hAnsi="Cambria" w:cs="Times New Roman"/>
        <w:lang w:val="en-US" w:eastAsia="en-US" w:bidi="ar-SA"/>
      </w:rPr>
    </w:rPrDefault>
    <w:pPrDefault/>
  </w:docDefaults>
  <w:latentStyles w:defLockedState="0" w:defUIPriority="99" w:defSemiHidden="0" w:defUnhideWhenUsed="0" w:defQFormat="0" w:count="375">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iPriority="0" w:unhideWhenUsed="1"/>
    <w:lsdException w:name="index 2" w:semiHidden="1" w:uiPriority="0"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0" w:unhideWhenUsed="1" w:qFormat="1"/>
    <w:lsdException w:name="table of figures" w:semiHidden="1" w:unhideWhenUsed="1"/>
    <w:lsdException w:name="envelope address" w:semiHidden="1" w:uiPriority="0"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iPriority="0"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nhideWhenUsed="1"/>
    <w:lsdException w:name="Block Text" w:semiHidden="1" w:uiPriority="0"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29"/>
    <w:lsdException w:name="Light Shading Accent 2" w:uiPriority="3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64"/>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4E44EB"/>
    <w:pPr>
      <w:spacing w:after="200" w:line="276" w:lineRule="auto"/>
    </w:pPr>
    <w:rPr>
      <w:rFonts w:ascii="Calibri" w:hAnsi="Calibri"/>
      <w:sz w:val="22"/>
      <w:szCs w:val="22"/>
      <w:lang w:bidi="en-US"/>
    </w:rPr>
  </w:style>
  <w:style w:type="paragraph" w:styleId="Heading1">
    <w:name w:val="heading 1"/>
    <w:aliases w:val="Heading 1 SCCWRP"/>
    <w:basedOn w:val="Normal"/>
    <w:next w:val="Normal"/>
    <w:link w:val="Heading1Char"/>
    <w:qFormat/>
    <w:rsid w:val="003A7DB9"/>
    <w:pPr>
      <w:keepNext/>
      <w:keepLines/>
      <w:tabs>
        <w:tab w:val="left" w:pos="360"/>
      </w:tabs>
      <w:spacing w:after="240"/>
      <w:ind w:left="360" w:hanging="360"/>
      <w:outlineLvl w:val="0"/>
    </w:pPr>
    <w:rPr>
      <w:b/>
      <w:bCs/>
      <w:color w:val="365F91"/>
      <w:sz w:val="28"/>
      <w:szCs w:val="28"/>
    </w:rPr>
  </w:style>
  <w:style w:type="paragraph" w:styleId="Heading2">
    <w:name w:val="heading 2"/>
    <w:aliases w:val="Heading 2 SCCWRP"/>
    <w:basedOn w:val="NormalIndent"/>
    <w:next w:val="Normal"/>
    <w:link w:val="Heading2Char"/>
    <w:unhideWhenUsed/>
    <w:qFormat/>
    <w:rsid w:val="00766082"/>
    <w:pPr>
      <w:keepNext/>
      <w:keepLines/>
      <w:tabs>
        <w:tab w:val="left" w:pos="504"/>
      </w:tabs>
      <w:spacing w:before="320" w:after="120" w:line="240" w:lineRule="auto"/>
      <w:ind w:left="504" w:hanging="504"/>
      <w:outlineLvl w:val="1"/>
    </w:pPr>
    <w:rPr>
      <w:b/>
      <w:bCs/>
      <w:color w:val="4F81BD"/>
      <w:sz w:val="24"/>
      <w:szCs w:val="26"/>
    </w:rPr>
  </w:style>
  <w:style w:type="paragraph" w:styleId="Heading3">
    <w:name w:val="heading 3"/>
    <w:aliases w:val="Heading 3 SCCWRP"/>
    <w:basedOn w:val="Normal"/>
    <w:next w:val="Normal"/>
    <w:link w:val="Heading3Char"/>
    <w:unhideWhenUsed/>
    <w:qFormat/>
    <w:rsid w:val="00F07280"/>
    <w:pPr>
      <w:keepNext/>
      <w:keepLines/>
      <w:tabs>
        <w:tab w:val="left" w:pos="720"/>
      </w:tabs>
      <w:spacing w:before="320" w:after="120" w:line="240" w:lineRule="auto"/>
      <w:ind w:left="720" w:hanging="720"/>
      <w:outlineLvl w:val="2"/>
    </w:pPr>
    <w:rPr>
      <w:bCs/>
      <w:i/>
      <w:color w:val="4F81BD"/>
      <w:sz w:val="24"/>
    </w:rPr>
  </w:style>
  <w:style w:type="paragraph" w:styleId="Heading4">
    <w:name w:val="heading 4"/>
    <w:basedOn w:val="Normal"/>
    <w:next w:val="Normal"/>
    <w:link w:val="Heading4Char"/>
    <w:unhideWhenUsed/>
    <w:qFormat/>
    <w:rsid w:val="00941919"/>
    <w:pPr>
      <w:keepNext/>
      <w:keepLines/>
      <w:spacing w:before="320" w:after="120"/>
      <w:outlineLvl w:val="3"/>
    </w:pPr>
    <w:rPr>
      <w:bCs/>
      <w:iCs/>
      <w:color w:val="4F81BD"/>
      <w:u w:val="single"/>
    </w:rPr>
  </w:style>
  <w:style w:type="paragraph" w:styleId="Heading5">
    <w:name w:val="heading 5"/>
    <w:basedOn w:val="Normal"/>
    <w:next w:val="Normal"/>
    <w:link w:val="Heading5Char"/>
    <w:unhideWhenUsed/>
    <w:qFormat/>
    <w:rsid w:val="005307B3"/>
    <w:pPr>
      <w:keepNext/>
      <w:keepLines/>
      <w:spacing w:before="200" w:after="0"/>
      <w:outlineLvl w:val="4"/>
    </w:pPr>
    <w:rPr>
      <w:color w:val="243F60"/>
    </w:rPr>
  </w:style>
  <w:style w:type="paragraph" w:styleId="Heading6">
    <w:name w:val="heading 6"/>
    <w:basedOn w:val="Normal"/>
    <w:next w:val="Normal"/>
    <w:link w:val="Heading6Char"/>
    <w:unhideWhenUsed/>
    <w:qFormat/>
    <w:rsid w:val="005307B3"/>
    <w:pPr>
      <w:keepNext/>
      <w:keepLines/>
      <w:spacing w:before="200" w:after="0"/>
      <w:outlineLvl w:val="5"/>
    </w:pPr>
    <w:rPr>
      <w:i/>
      <w:iCs/>
      <w:color w:val="243F60"/>
    </w:rPr>
  </w:style>
  <w:style w:type="paragraph" w:styleId="Heading7">
    <w:name w:val="heading 7"/>
    <w:basedOn w:val="Normal"/>
    <w:next w:val="Normal"/>
    <w:link w:val="Heading7Char"/>
    <w:unhideWhenUsed/>
    <w:qFormat/>
    <w:rsid w:val="005307B3"/>
    <w:pPr>
      <w:keepNext/>
      <w:keepLines/>
      <w:spacing w:before="200" w:after="0"/>
      <w:outlineLvl w:val="6"/>
    </w:pPr>
    <w:rPr>
      <w:i/>
      <w:iCs/>
      <w:color w:val="404040"/>
    </w:rPr>
  </w:style>
  <w:style w:type="paragraph" w:styleId="Heading8">
    <w:name w:val="heading 8"/>
    <w:basedOn w:val="Normal"/>
    <w:next w:val="Normal"/>
    <w:link w:val="Heading8Char"/>
    <w:unhideWhenUsed/>
    <w:qFormat/>
    <w:rsid w:val="005307B3"/>
    <w:pPr>
      <w:keepNext/>
      <w:keepLines/>
      <w:spacing w:before="200" w:after="0"/>
      <w:outlineLvl w:val="7"/>
    </w:pPr>
    <w:rPr>
      <w:color w:val="4F81BD"/>
      <w:sz w:val="20"/>
      <w:szCs w:val="20"/>
    </w:rPr>
  </w:style>
  <w:style w:type="paragraph" w:styleId="Heading9">
    <w:name w:val="heading 9"/>
    <w:basedOn w:val="Normal"/>
    <w:next w:val="Normal"/>
    <w:link w:val="Heading9Char"/>
    <w:unhideWhenUsed/>
    <w:qFormat/>
    <w:rsid w:val="005307B3"/>
    <w:pPr>
      <w:keepNext/>
      <w:keepLines/>
      <w:spacing w:before="200" w:after="0"/>
      <w:outlineLvl w:val="8"/>
    </w:pPr>
    <w:rPr>
      <w:i/>
      <w:iCs/>
      <w:color w:val="404040"/>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Heading 1 SCCWRP Char"/>
    <w:link w:val="Heading1"/>
    <w:rsid w:val="003A7DB9"/>
    <w:rPr>
      <w:rFonts w:ascii="Calibri" w:hAnsi="Calibri"/>
      <w:b/>
      <w:bCs/>
      <w:color w:val="365F91"/>
      <w:sz w:val="28"/>
      <w:szCs w:val="28"/>
      <w:lang w:bidi="en-US"/>
    </w:rPr>
  </w:style>
  <w:style w:type="paragraph" w:styleId="NormalIndent">
    <w:name w:val="Normal Indent"/>
    <w:basedOn w:val="Normal"/>
    <w:uiPriority w:val="99"/>
    <w:semiHidden/>
    <w:unhideWhenUsed/>
    <w:rsid w:val="009B1AA9"/>
    <w:pPr>
      <w:ind w:left="720"/>
    </w:pPr>
  </w:style>
  <w:style w:type="character" w:customStyle="1" w:styleId="Heading2Char">
    <w:name w:val="Heading 2 Char"/>
    <w:aliases w:val="Heading 2 SCCWRP Char"/>
    <w:link w:val="Heading2"/>
    <w:rsid w:val="00766082"/>
    <w:rPr>
      <w:rFonts w:ascii="Calibri" w:hAnsi="Calibri"/>
      <w:b/>
      <w:bCs/>
      <w:color w:val="4F81BD"/>
      <w:sz w:val="24"/>
      <w:szCs w:val="26"/>
      <w:lang w:bidi="en-US"/>
    </w:rPr>
  </w:style>
  <w:style w:type="character" w:customStyle="1" w:styleId="Heading3Char">
    <w:name w:val="Heading 3 Char"/>
    <w:aliases w:val="Heading 3 SCCWRP Char"/>
    <w:link w:val="Heading3"/>
    <w:uiPriority w:val="9"/>
    <w:rsid w:val="00F07280"/>
    <w:rPr>
      <w:rFonts w:ascii="Calibri" w:hAnsi="Calibri"/>
      <w:bCs/>
      <w:i/>
      <w:color w:val="4F81BD"/>
      <w:sz w:val="24"/>
      <w:szCs w:val="22"/>
      <w:lang w:bidi="en-US"/>
    </w:rPr>
  </w:style>
  <w:style w:type="character" w:customStyle="1" w:styleId="Heading4Char">
    <w:name w:val="Heading 4 Char"/>
    <w:link w:val="Heading4"/>
    <w:rsid w:val="00941919"/>
    <w:rPr>
      <w:rFonts w:ascii="Calibri" w:hAnsi="Calibri"/>
      <w:bCs/>
      <w:iCs/>
      <w:color w:val="4F81BD"/>
      <w:sz w:val="22"/>
      <w:szCs w:val="22"/>
      <w:u w:val="single"/>
      <w:lang w:bidi="en-US"/>
    </w:rPr>
  </w:style>
  <w:style w:type="character" w:customStyle="1" w:styleId="Heading5Char">
    <w:name w:val="Heading 5 Char"/>
    <w:link w:val="Heading5"/>
    <w:rsid w:val="005307B3"/>
    <w:rPr>
      <w:rFonts w:ascii="Calibri" w:eastAsia="Times New Roman" w:hAnsi="Calibri" w:cs="Times New Roman"/>
      <w:color w:val="243F60"/>
    </w:rPr>
  </w:style>
  <w:style w:type="character" w:customStyle="1" w:styleId="Heading6Char">
    <w:name w:val="Heading 6 Char"/>
    <w:link w:val="Heading6"/>
    <w:rsid w:val="005307B3"/>
    <w:rPr>
      <w:rFonts w:ascii="Calibri" w:eastAsia="Times New Roman" w:hAnsi="Calibri" w:cs="Times New Roman"/>
      <w:i/>
      <w:iCs/>
      <w:color w:val="243F60"/>
    </w:rPr>
  </w:style>
  <w:style w:type="character" w:customStyle="1" w:styleId="Heading7Char">
    <w:name w:val="Heading 7 Char"/>
    <w:link w:val="Heading7"/>
    <w:rsid w:val="005307B3"/>
    <w:rPr>
      <w:rFonts w:ascii="Calibri" w:eastAsia="Times New Roman" w:hAnsi="Calibri" w:cs="Times New Roman"/>
      <w:i/>
      <w:iCs/>
      <w:color w:val="404040"/>
    </w:rPr>
  </w:style>
  <w:style w:type="character" w:customStyle="1" w:styleId="Heading8Char">
    <w:name w:val="Heading 8 Char"/>
    <w:link w:val="Heading8"/>
    <w:rsid w:val="005307B3"/>
    <w:rPr>
      <w:rFonts w:ascii="Calibri" w:eastAsia="Times New Roman" w:hAnsi="Calibri" w:cs="Times New Roman"/>
      <w:color w:val="4F81BD"/>
      <w:sz w:val="20"/>
      <w:szCs w:val="20"/>
    </w:rPr>
  </w:style>
  <w:style w:type="character" w:customStyle="1" w:styleId="Heading9Char">
    <w:name w:val="Heading 9 Char"/>
    <w:link w:val="Heading9"/>
    <w:rsid w:val="005307B3"/>
    <w:rPr>
      <w:rFonts w:ascii="Calibri" w:eastAsia="Times New Roman" w:hAnsi="Calibri" w:cs="Times New Roman"/>
      <w:i/>
      <w:iCs/>
      <w:color w:val="404040"/>
      <w:sz w:val="20"/>
      <w:szCs w:val="20"/>
    </w:rPr>
  </w:style>
  <w:style w:type="paragraph" w:styleId="List2">
    <w:name w:val="List 2"/>
    <w:basedOn w:val="Normal"/>
    <w:uiPriority w:val="99"/>
    <w:semiHidden/>
    <w:unhideWhenUsed/>
    <w:rsid w:val="005307B3"/>
    <w:pPr>
      <w:ind w:left="720" w:hanging="360"/>
      <w:contextualSpacing/>
    </w:pPr>
  </w:style>
  <w:style w:type="paragraph" w:styleId="ListParagraph">
    <w:name w:val="List Paragraph"/>
    <w:basedOn w:val="Normal"/>
    <w:uiPriority w:val="34"/>
    <w:qFormat/>
    <w:rsid w:val="005307B3"/>
    <w:pPr>
      <w:ind w:left="720"/>
      <w:contextualSpacing/>
    </w:pPr>
  </w:style>
  <w:style w:type="paragraph" w:styleId="TOCHeading">
    <w:name w:val="TOC Heading"/>
    <w:basedOn w:val="Heading1"/>
    <w:next w:val="Normal"/>
    <w:uiPriority w:val="39"/>
    <w:unhideWhenUsed/>
    <w:qFormat/>
    <w:rsid w:val="005307B3"/>
    <w:pPr>
      <w:outlineLvl w:val="9"/>
    </w:pPr>
  </w:style>
  <w:style w:type="paragraph" w:styleId="TOC2">
    <w:name w:val="toc 2"/>
    <w:basedOn w:val="Normal"/>
    <w:next w:val="Normal"/>
    <w:link w:val="TOC2Char"/>
    <w:autoRedefine/>
    <w:uiPriority w:val="39"/>
    <w:unhideWhenUsed/>
    <w:qFormat/>
    <w:rsid w:val="00186E1C"/>
    <w:pPr>
      <w:tabs>
        <w:tab w:val="right" w:leader="dot" w:pos="9350"/>
      </w:tabs>
      <w:spacing w:after="100"/>
      <w:ind w:left="720" w:hanging="360"/>
    </w:pPr>
    <w:rPr>
      <w:i/>
      <w:noProof/>
    </w:rPr>
  </w:style>
  <w:style w:type="character" w:customStyle="1" w:styleId="TOC2Char">
    <w:name w:val="TOC 2 Char"/>
    <w:link w:val="TOC2"/>
    <w:uiPriority w:val="39"/>
    <w:rsid w:val="00186E1C"/>
    <w:rPr>
      <w:rFonts w:ascii="Calibri" w:hAnsi="Calibri"/>
      <w:i/>
      <w:noProof/>
      <w:sz w:val="22"/>
      <w:szCs w:val="22"/>
      <w:lang w:bidi="en-US"/>
    </w:rPr>
  </w:style>
  <w:style w:type="paragraph" w:styleId="TOC1">
    <w:name w:val="toc 1"/>
    <w:basedOn w:val="Normal"/>
    <w:next w:val="Normal"/>
    <w:link w:val="TOC1Char"/>
    <w:autoRedefine/>
    <w:uiPriority w:val="39"/>
    <w:unhideWhenUsed/>
    <w:qFormat/>
    <w:rsid w:val="0059131C"/>
    <w:pPr>
      <w:tabs>
        <w:tab w:val="left" w:pos="450"/>
        <w:tab w:val="right" w:leader="dot" w:pos="9350"/>
      </w:tabs>
      <w:spacing w:after="100"/>
      <w:ind w:left="450" w:hanging="270"/>
    </w:pPr>
    <w:rPr>
      <w:b/>
    </w:rPr>
  </w:style>
  <w:style w:type="character" w:customStyle="1" w:styleId="TOC1Char">
    <w:name w:val="TOC 1 Char"/>
    <w:link w:val="TOC1"/>
    <w:uiPriority w:val="39"/>
    <w:rsid w:val="0059131C"/>
    <w:rPr>
      <w:b/>
      <w:sz w:val="22"/>
      <w:szCs w:val="22"/>
      <w:lang w:bidi="en-US"/>
    </w:rPr>
  </w:style>
  <w:style w:type="paragraph" w:styleId="TOC3">
    <w:name w:val="toc 3"/>
    <w:basedOn w:val="Normal"/>
    <w:next w:val="Normal"/>
    <w:autoRedefine/>
    <w:uiPriority w:val="39"/>
    <w:unhideWhenUsed/>
    <w:qFormat/>
    <w:rsid w:val="00E50EB0"/>
    <w:pPr>
      <w:tabs>
        <w:tab w:val="right" w:leader="dot" w:pos="9350"/>
      </w:tabs>
      <w:spacing w:after="100"/>
      <w:ind w:left="1440" w:hanging="720"/>
    </w:pPr>
  </w:style>
  <w:style w:type="paragraph" w:styleId="BalloonText">
    <w:name w:val="Balloon Text"/>
    <w:basedOn w:val="Normal"/>
    <w:link w:val="BalloonTextChar"/>
    <w:uiPriority w:val="99"/>
    <w:semiHidden/>
    <w:unhideWhenUsed/>
    <w:rsid w:val="005B54BF"/>
    <w:pPr>
      <w:spacing w:after="0" w:line="240" w:lineRule="auto"/>
    </w:pPr>
    <w:rPr>
      <w:rFonts w:ascii="Tahoma" w:hAnsi="Tahoma" w:cs="Tahoma"/>
      <w:sz w:val="16"/>
      <w:szCs w:val="16"/>
    </w:rPr>
  </w:style>
  <w:style w:type="character" w:customStyle="1" w:styleId="BalloonTextChar">
    <w:name w:val="Balloon Text Char"/>
    <w:link w:val="BalloonText"/>
    <w:uiPriority w:val="99"/>
    <w:semiHidden/>
    <w:rsid w:val="005B54BF"/>
    <w:rPr>
      <w:rFonts w:ascii="Tahoma" w:hAnsi="Tahoma" w:cs="Tahoma"/>
      <w:sz w:val="16"/>
      <w:szCs w:val="16"/>
    </w:rPr>
  </w:style>
  <w:style w:type="character" w:styleId="Hyperlink">
    <w:name w:val="Hyperlink"/>
    <w:uiPriority w:val="99"/>
    <w:unhideWhenUsed/>
    <w:rsid w:val="005B54BF"/>
    <w:rPr>
      <w:color w:val="0000FF"/>
      <w:u w:val="single"/>
    </w:rPr>
  </w:style>
  <w:style w:type="paragraph" w:styleId="Header">
    <w:name w:val="header"/>
    <w:basedOn w:val="Normal"/>
    <w:link w:val="HeaderChar"/>
    <w:uiPriority w:val="99"/>
    <w:unhideWhenUsed/>
    <w:rsid w:val="005B54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5B54BF"/>
  </w:style>
  <w:style w:type="paragraph" w:styleId="Footer">
    <w:name w:val="footer"/>
    <w:basedOn w:val="Normal"/>
    <w:link w:val="FooterChar"/>
    <w:unhideWhenUsed/>
    <w:rsid w:val="00407B0E"/>
    <w:pPr>
      <w:tabs>
        <w:tab w:val="center" w:pos="4680"/>
        <w:tab w:val="right" w:pos="9360"/>
      </w:tabs>
      <w:spacing w:after="0" w:line="240" w:lineRule="auto"/>
    </w:pPr>
  </w:style>
  <w:style w:type="character" w:customStyle="1" w:styleId="FooterChar">
    <w:name w:val="Footer Char"/>
    <w:link w:val="Footer"/>
    <w:rsid w:val="00407B0E"/>
    <w:rPr>
      <w:sz w:val="22"/>
      <w:szCs w:val="22"/>
      <w:lang w:bidi="en-US"/>
    </w:rPr>
  </w:style>
  <w:style w:type="paragraph" w:styleId="BodyText3">
    <w:name w:val="Body Text 3"/>
    <w:basedOn w:val="Normal"/>
    <w:link w:val="BodyText3Char"/>
    <w:semiHidden/>
    <w:rsid w:val="00D53860"/>
    <w:pPr>
      <w:spacing w:after="0" w:line="240" w:lineRule="auto"/>
    </w:pPr>
    <w:rPr>
      <w:rFonts w:ascii="Times New Roman" w:hAnsi="Times New Roman"/>
      <w:i/>
      <w:color w:val="FF0000"/>
      <w:sz w:val="20"/>
      <w:szCs w:val="20"/>
    </w:rPr>
  </w:style>
  <w:style w:type="character" w:customStyle="1" w:styleId="BodyText3Char">
    <w:name w:val="Body Text 3 Char"/>
    <w:link w:val="BodyText3"/>
    <w:semiHidden/>
    <w:rsid w:val="00D53860"/>
    <w:rPr>
      <w:rFonts w:ascii="Times New Roman" w:eastAsia="Times New Roman" w:hAnsi="Times New Roman" w:cs="Times New Roman"/>
      <w:i/>
      <w:color w:val="FF0000"/>
      <w:sz w:val="20"/>
      <w:szCs w:val="20"/>
    </w:rPr>
  </w:style>
  <w:style w:type="table" w:styleId="TableGrid">
    <w:name w:val="Table Grid"/>
    <w:basedOn w:val="TableNormal"/>
    <w:uiPriority w:val="39"/>
    <w:rsid w:val="002D1A8C"/>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NormalWeb">
    <w:name w:val="Normal (Web)"/>
    <w:basedOn w:val="Normal"/>
    <w:uiPriority w:val="99"/>
    <w:unhideWhenUsed/>
    <w:rsid w:val="002D1A8C"/>
    <w:pPr>
      <w:spacing w:before="100" w:beforeAutospacing="1" w:after="100" w:afterAutospacing="1" w:line="240" w:lineRule="auto"/>
    </w:pPr>
    <w:rPr>
      <w:rFonts w:ascii="Times New Roman" w:hAnsi="Times New Roman"/>
      <w:sz w:val="24"/>
      <w:szCs w:val="24"/>
    </w:rPr>
  </w:style>
  <w:style w:type="paragraph" w:customStyle="1" w:styleId="TOT">
    <w:name w:val="TOT"/>
    <w:basedOn w:val="TOC1"/>
    <w:link w:val="TOTChar"/>
    <w:qFormat/>
    <w:rsid w:val="00140775"/>
    <w:pPr>
      <w:spacing w:after="120" w:line="240" w:lineRule="auto"/>
      <w:ind w:left="0" w:firstLine="0"/>
    </w:pPr>
    <w:rPr>
      <w:rFonts w:ascii="Arial" w:hAnsi="Arial"/>
      <w:sz w:val="20"/>
    </w:rPr>
  </w:style>
  <w:style w:type="character" w:customStyle="1" w:styleId="TOTChar">
    <w:name w:val="TOT Char"/>
    <w:link w:val="TOT"/>
    <w:rsid w:val="00140775"/>
    <w:rPr>
      <w:rFonts w:ascii="Arial" w:hAnsi="Arial"/>
      <w:b/>
      <w:sz w:val="22"/>
      <w:szCs w:val="22"/>
      <w:lang w:bidi="en-US"/>
    </w:rPr>
  </w:style>
  <w:style w:type="paragraph" w:styleId="TableofFigures">
    <w:name w:val="table of figures"/>
    <w:basedOn w:val="Normal"/>
    <w:next w:val="Normal"/>
    <w:uiPriority w:val="99"/>
    <w:unhideWhenUsed/>
    <w:rsid w:val="00876168"/>
    <w:pPr>
      <w:spacing w:after="0"/>
    </w:pPr>
  </w:style>
  <w:style w:type="paragraph" w:customStyle="1" w:styleId="TOF">
    <w:name w:val="TOF"/>
    <w:basedOn w:val="TOC2"/>
    <w:link w:val="TOFChar"/>
    <w:qFormat/>
    <w:rsid w:val="00140775"/>
    <w:pPr>
      <w:spacing w:line="240" w:lineRule="auto"/>
      <w:ind w:left="0" w:firstLine="0"/>
    </w:pPr>
    <w:rPr>
      <w:rFonts w:ascii="Arial" w:hAnsi="Arial"/>
      <w:sz w:val="20"/>
    </w:rPr>
  </w:style>
  <w:style w:type="character" w:customStyle="1" w:styleId="TOFChar">
    <w:name w:val="TOF Char"/>
    <w:link w:val="TOF"/>
    <w:rsid w:val="00140775"/>
    <w:rPr>
      <w:rFonts w:ascii="Arial" w:hAnsi="Arial"/>
      <w:b/>
      <w:i/>
      <w:noProof/>
      <w:sz w:val="22"/>
      <w:szCs w:val="22"/>
      <w:lang w:bidi="en-US"/>
    </w:rPr>
  </w:style>
  <w:style w:type="paragraph" w:customStyle="1" w:styleId="GMX-bullet">
    <w:name w:val="GMX-bullet"/>
    <w:basedOn w:val="Normal"/>
    <w:rsid w:val="002C734C"/>
    <w:pPr>
      <w:tabs>
        <w:tab w:val="num" w:pos="720"/>
      </w:tabs>
      <w:spacing w:after="240" w:line="240" w:lineRule="auto"/>
      <w:ind w:left="720" w:hanging="360"/>
    </w:pPr>
    <w:rPr>
      <w:rFonts w:ascii="Times New Roman" w:hAnsi="Times New Roman"/>
      <w:sz w:val="24"/>
      <w:szCs w:val="24"/>
    </w:rPr>
  </w:style>
  <w:style w:type="paragraph" w:customStyle="1" w:styleId="GMX-listintro">
    <w:name w:val="GMX-list intro"/>
    <w:basedOn w:val="Normal"/>
    <w:next w:val="GMX-bullet"/>
    <w:rsid w:val="002C734C"/>
    <w:pPr>
      <w:spacing w:line="312" w:lineRule="auto"/>
    </w:pPr>
    <w:rPr>
      <w:rFonts w:ascii="Times New Roman" w:hAnsi="Times New Roman"/>
      <w:sz w:val="24"/>
      <w:szCs w:val="20"/>
    </w:rPr>
  </w:style>
  <w:style w:type="paragraph" w:customStyle="1" w:styleId="TableofTables">
    <w:name w:val="Table of Tables"/>
    <w:basedOn w:val="TableofFigures"/>
    <w:next w:val="TableofFigures"/>
    <w:rsid w:val="002C734C"/>
    <w:pPr>
      <w:spacing w:line="240" w:lineRule="auto"/>
    </w:pPr>
    <w:rPr>
      <w:rFonts w:ascii="Arial" w:hAnsi="Arial" w:cs="Arial"/>
      <w:sz w:val="24"/>
      <w:szCs w:val="24"/>
    </w:rPr>
  </w:style>
  <w:style w:type="table" w:customStyle="1" w:styleId="LightList1">
    <w:name w:val="Light List1"/>
    <w:basedOn w:val="TableNormal"/>
    <w:uiPriority w:val="61"/>
    <w:rsid w:val="003D2A48"/>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character" w:customStyle="1" w:styleId="italtext">
    <w:name w:val="italtext"/>
    <w:basedOn w:val="DefaultParagraphFont"/>
    <w:rsid w:val="007E3FBE"/>
  </w:style>
  <w:style w:type="character" w:customStyle="1" w:styleId="bodytext">
    <w:name w:val="bodytext"/>
    <w:basedOn w:val="DefaultParagraphFont"/>
    <w:rsid w:val="007E3FBE"/>
  </w:style>
  <w:style w:type="paragraph" w:customStyle="1" w:styleId="FigureTitle">
    <w:name w:val="Figure Title"/>
    <w:basedOn w:val="Normal"/>
    <w:autoRedefine/>
    <w:rsid w:val="006D1226"/>
    <w:pPr>
      <w:spacing w:after="0" w:line="240" w:lineRule="auto"/>
      <w:ind w:left="252" w:hanging="252"/>
    </w:pPr>
    <w:rPr>
      <w:rFonts w:ascii="Times New Roman" w:hAnsi="Times New Roman"/>
      <w:sz w:val="20"/>
      <w:szCs w:val="24"/>
    </w:rPr>
  </w:style>
  <w:style w:type="character" w:styleId="PlaceholderText">
    <w:name w:val="Placeholder Text"/>
    <w:uiPriority w:val="99"/>
    <w:semiHidden/>
    <w:rsid w:val="006C161E"/>
    <w:rPr>
      <w:color w:val="808080"/>
    </w:rPr>
  </w:style>
  <w:style w:type="character" w:styleId="CommentReference">
    <w:name w:val="annotation reference"/>
    <w:uiPriority w:val="99"/>
    <w:unhideWhenUsed/>
    <w:rsid w:val="00791250"/>
    <w:rPr>
      <w:sz w:val="16"/>
      <w:szCs w:val="16"/>
    </w:rPr>
  </w:style>
  <w:style w:type="paragraph" w:styleId="CommentText">
    <w:name w:val="annotation text"/>
    <w:basedOn w:val="Normal"/>
    <w:link w:val="CommentTextChar"/>
    <w:uiPriority w:val="99"/>
    <w:unhideWhenUsed/>
    <w:rsid w:val="00791250"/>
    <w:pPr>
      <w:spacing w:line="240" w:lineRule="auto"/>
    </w:pPr>
    <w:rPr>
      <w:sz w:val="20"/>
      <w:szCs w:val="20"/>
    </w:rPr>
  </w:style>
  <w:style w:type="character" w:customStyle="1" w:styleId="CommentTextChar">
    <w:name w:val="Comment Text Char"/>
    <w:link w:val="CommentText"/>
    <w:uiPriority w:val="99"/>
    <w:rsid w:val="00791250"/>
    <w:rPr>
      <w:sz w:val="20"/>
      <w:szCs w:val="20"/>
    </w:rPr>
  </w:style>
  <w:style w:type="paragraph" w:styleId="CommentSubject">
    <w:name w:val="annotation subject"/>
    <w:basedOn w:val="CommentText"/>
    <w:next w:val="CommentText"/>
    <w:link w:val="CommentSubjectChar"/>
    <w:uiPriority w:val="99"/>
    <w:semiHidden/>
    <w:unhideWhenUsed/>
    <w:rsid w:val="00791250"/>
    <w:rPr>
      <w:b/>
      <w:bCs/>
    </w:rPr>
  </w:style>
  <w:style w:type="character" w:customStyle="1" w:styleId="CommentSubjectChar">
    <w:name w:val="Comment Subject Char"/>
    <w:link w:val="CommentSubject"/>
    <w:uiPriority w:val="99"/>
    <w:semiHidden/>
    <w:rsid w:val="00791250"/>
    <w:rPr>
      <w:b/>
      <w:bCs/>
      <w:sz w:val="20"/>
      <w:szCs w:val="20"/>
    </w:rPr>
  </w:style>
  <w:style w:type="paragraph" w:styleId="Revision">
    <w:name w:val="Revision"/>
    <w:hidden/>
    <w:uiPriority w:val="99"/>
    <w:rsid w:val="00BB4B2F"/>
    <w:rPr>
      <w:sz w:val="22"/>
      <w:szCs w:val="22"/>
      <w:lang w:bidi="en-US"/>
    </w:rPr>
  </w:style>
  <w:style w:type="paragraph" w:styleId="FootnoteText">
    <w:name w:val="footnote text"/>
    <w:basedOn w:val="Normal"/>
    <w:link w:val="FootnoteTextChar"/>
    <w:unhideWhenUsed/>
    <w:rsid w:val="00EF53B9"/>
    <w:pPr>
      <w:spacing w:after="0" w:line="240" w:lineRule="auto"/>
    </w:pPr>
    <w:rPr>
      <w:sz w:val="20"/>
      <w:szCs w:val="20"/>
    </w:rPr>
  </w:style>
  <w:style w:type="character" w:customStyle="1" w:styleId="FootnoteTextChar">
    <w:name w:val="Footnote Text Char"/>
    <w:link w:val="FootnoteText"/>
    <w:rsid w:val="00EF53B9"/>
    <w:rPr>
      <w:sz w:val="20"/>
      <w:szCs w:val="20"/>
    </w:rPr>
  </w:style>
  <w:style w:type="character" w:styleId="FootnoteReference">
    <w:name w:val="footnote reference"/>
    <w:unhideWhenUsed/>
    <w:rsid w:val="00EF53B9"/>
    <w:rPr>
      <w:vertAlign w:val="superscript"/>
    </w:rPr>
  </w:style>
  <w:style w:type="character" w:styleId="FollowedHyperlink">
    <w:name w:val="FollowedHyperlink"/>
    <w:unhideWhenUsed/>
    <w:rsid w:val="00C76B0A"/>
    <w:rPr>
      <w:color w:val="800080"/>
      <w:u w:val="single"/>
    </w:rPr>
  </w:style>
  <w:style w:type="paragraph" w:styleId="Caption">
    <w:name w:val="caption"/>
    <w:aliases w:val="Caption SCCWRP"/>
    <w:basedOn w:val="Normal"/>
    <w:next w:val="Normal"/>
    <w:link w:val="CaptionChar"/>
    <w:unhideWhenUsed/>
    <w:qFormat/>
    <w:rsid w:val="005307B3"/>
    <w:pPr>
      <w:spacing w:line="240" w:lineRule="auto"/>
    </w:pPr>
    <w:rPr>
      <w:b/>
      <w:bCs/>
      <w:color w:val="4F81BD"/>
      <w:sz w:val="18"/>
      <w:szCs w:val="18"/>
    </w:rPr>
  </w:style>
  <w:style w:type="character" w:customStyle="1" w:styleId="CaptionChar">
    <w:name w:val="Caption Char"/>
    <w:aliases w:val="Caption SCCWRP Char"/>
    <w:link w:val="Caption"/>
    <w:rsid w:val="00133054"/>
    <w:rPr>
      <w:rFonts w:ascii="Calibri" w:hAnsi="Calibri"/>
      <w:b/>
      <w:bCs/>
      <w:color w:val="4F81BD"/>
      <w:sz w:val="18"/>
      <w:szCs w:val="18"/>
      <w:lang w:bidi="en-US"/>
    </w:rPr>
  </w:style>
  <w:style w:type="paragraph" w:styleId="Title">
    <w:name w:val="Title"/>
    <w:basedOn w:val="Normal"/>
    <w:next w:val="Normal"/>
    <w:link w:val="TitleChar"/>
    <w:qFormat/>
    <w:rsid w:val="005307B3"/>
    <w:pPr>
      <w:pBdr>
        <w:bottom w:val="single" w:sz="8" w:space="4" w:color="4F81BD"/>
      </w:pBdr>
      <w:spacing w:after="300" w:line="240" w:lineRule="auto"/>
      <w:contextualSpacing/>
    </w:pPr>
    <w:rPr>
      <w:color w:val="17365D"/>
      <w:spacing w:val="5"/>
      <w:kern w:val="28"/>
      <w:sz w:val="52"/>
      <w:szCs w:val="52"/>
    </w:rPr>
  </w:style>
  <w:style w:type="character" w:customStyle="1" w:styleId="TitleChar">
    <w:name w:val="Title Char"/>
    <w:link w:val="Title"/>
    <w:uiPriority w:val="10"/>
    <w:rsid w:val="005307B3"/>
    <w:rPr>
      <w:rFonts w:ascii="Calibri" w:eastAsia="Times New Roman" w:hAnsi="Calibri" w:cs="Times New Roman"/>
      <w:color w:val="17365D"/>
      <w:spacing w:val="5"/>
      <w:kern w:val="28"/>
      <w:sz w:val="52"/>
      <w:szCs w:val="52"/>
    </w:rPr>
  </w:style>
  <w:style w:type="paragraph" w:styleId="Subtitle">
    <w:name w:val="Subtitle"/>
    <w:basedOn w:val="Normal"/>
    <w:next w:val="Normal"/>
    <w:link w:val="SubtitleChar"/>
    <w:qFormat/>
    <w:rsid w:val="005307B3"/>
    <w:pPr>
      <w:numPr>
        <w:ilvl w:val="1"/>
      </w:numPr>
    </w:pPr>
    <w:rPr>
      <w:i/>
      <w:iCs/>
      <w:color w:val="4F81BD"/>
      <w:spacing w:val="15"/>
      <w:sz w:val="24"/>
      <w:szCs w:val="24"/>
    </w:rPr>
  </w:style>
  <w:style w:type="character" w:customStyle="1" w:styleId="SubtitleChar">
    <w:name w:val="Subtitle Char"/>
    <w:link w:val="Subtitle"/>
    <w:uiPriority w:val="11"/>
    <w:rsid w:val="005307B3"/>
    <w:rPr>
      <w:rFonts w:ascii="Calibri" w:eastAsia="Times New Roman" w:hAnsi="Calibri" w:cs="Times New Roman"/>
      <w:i/>
      <w:iCs/>
      <w:color w:val="4F81BD"/>
      <w:spacing w:val="15"/>
      <w:sz w:val="24"/>
      <w:szCs w:val="24"/>
    </w:rPr>
  </w:style>
  <w:style w:type="character" w:styleId="Strong">
    <w:name w:val="Strong"/>
    <w:uiPriority w:val="22"/>
    <w:qFormat/>
    <w:rsid w:val="005307B3"/>
    <w:rPr>
      <w:b/>
      <w:bCs/>
    </w:rPr>
  </w:style>
  <w:style w:type="character" w:styleId="Emphasis">
    <w:name w:val="Emphasis"/>
    <w:uiPriority w:val="20"/>
    <w:qFormat/>
    <w:rsid w:val="005307B3"/>
    <w:rPr>
      <w:i/>
      <w:iCs/>
    </w:rPr>
  </w:style>
  <w:style w:type="paragraph" w:styleId="NoSpacing">
    <w:name w:val="No Spacing"/>
    <w:link w:val="NoSpacingChar"/>
    <w:uiPriority w:val="1"/>
    <w:qFormat/>
    <w:rsid w:val="005307B3"/>
    <w:rPr>
      <w:sz w:val="22"/>
      <w:szCs w:val="22"/>
      <w:lang w:bidi="en-US"/>
    </w:rPr>
  </w:style>
  <w:style w:type="character" w:customStyle="1" w:styleId="NoSpacingChar">
    <w:name w:val="No Spacing Char"/>
    <w:link w:val="NoSpacing"/>
    <w:uiPriority w:val="1"/>
    <w:rsid w:val="005307B3"/>
    <w:rPr>
      <w:sz w:val="22"/>
      <w:szCs w:val="22"/>
      <w:lang w:val="en-US" w:eastAsia="en-US" w:bidi="en-US"/>
    </w:rPr>
  </w:style>
  <w:style w:type="paragraph" w:styleId="Quote">
    <w:name w:val="Quote"/>
    <w:basedOn w:val="Normal"/>
    <w:next w:val="Normal"/>
    <w:link w:val="QuoteChar"/>
    <w:uiPriority w:val="29"/>
    <w:qFormat/>
    <w:rsid w:val="005307B3"/>
    <w:rPr>
      <w:i/>
      <w:iCs/>
      <w:color w:val="000000"/>
    </w:rPr>
  </w:style>
  <w:style w:type="character" w:customStyle="1" w:styleId="QuoteChar">
    <w:name w:val="Quote Char"/>
    <w:link w:val="Quote"/>
    <w:uiPriority w:val="29"/>
    <w:rsid w:val="005307B3"/>
    <w:rPr>
      <w:i/>
      <w:iCs/>
      <w:color w:val="000000"/>
    </w:rPr>
  </w:style>
  <w:style w:type="paragraph" w:styleId="IntenseQuote">
    <w:name w:val="Intense Quote"/>
    <w:basedOn w:val="Normal"/>
    <w:next w:val="Normal"/>
    <w:link w:val="IntenseQuoteChar"/>
    <w:uiPriority w:val="30"/>
    <w:qFormat/>
    <w:rsid w:val="005307B3"/>
    <w:pPr>
      <w:pBdr>
        <w:bottom w:val="single" w:sz="4" w:space="4" w:color="4F81BD"/>
      </w:pBdr>
      <w:spacing w:before="200" w:after="280"/>
      <w:ind w:left="936" w:right="936"/>
    </w:pPr>
    <w:rPr>
      <w:b/>
      <w:bCs/>
      <w:i/>
      <w:iCs/>
      <w:color w:val="4F81BD"/>
    </w:rPr>
  </w:style>
  <w:style w:type="character" w:customStyle="1" w:styleId="IntenseQuoteChar">
    <w:name w:val="Intense Quote Char"/>
    <w:link w:val="IntenseQuote"/>
    <w:uiPriority w:val="30"/>
    <w:rsid w:val="005307B3"/>
    <w:rPr>
      <w:b/>
      <w:bCs/>
      <w:i/>
      <w:iCs/>
      <w:color w:val="4F81BD"/>
    </w:rPr>
  </w:style>
  <w:style w:type="character" w:styleId="SubtleEmphasis">
    <w:name w:val="Subtle Emphasis"/>
    <w:uiPriority w:val="19"/>
    <w:qFormat/>
    <w:rsid w:val="005307B3"/>
    <w:rPr>
      <w:i/>
      <w:iCs/>
      <w:color w:val="808080"/>
    </w:rPr>
  </w:style>
  <w:style w:type="character" w:styleId="IntenseEmphasis">
    <w:name w:val="Intense Emphasis"/>
    <w:uiPriority w:val="21"/>
    <w:qFormat/>
    <w:rsid w:val="005307B3"/>
    <w:rPr>
      <w:b/>
      <w:bCs/>
      <w:i/>
      <w:iCs/>
      <w:color w:val="4F81BD"/>
    </w:rPr>
  </w:style>
  <w:style w:type="character" w:styleId="SubtleReference">
    <w:name w:val="Subtle Reference"/>
    <w:uiPriority w:val="31"/>
    <w:qFormat/>
    <w:rsid w:val="005307B3"/>
    <w:rPr>
      <w:smallCaps/>
      <w:color w:val="C0504D"/>
      <w:u w:val="single"/>
    </w:rPr>
  </w:style>
  <w:style w:type="character" w:styleId="IntenseReference">
    <w:name w:val="Intense Reference"/>
    <w:uiPriority w:val="32"/>
    <w:qFormat/>
    <w:rsid w:val="005307B3"/>
    <w:rPr>
      <w:b/>
      <w:bCs/>
      <w:smallCaps/>
      <w:color w:val="C0504D"/>
      <w:spacing w:val="5"/>
      <w:u w:val="single"/>
    </w:rPr>
  </w:style>
  <w:style w:type="character" w:styleId="BookTitle">
    <w:name w:val="Book Title"/>
    <w:uiPriority w:val="33"/>
    <w:qFormat/>
    <w:rsid w:val="005307B3"/>
    <w:rPr>
      <w:b/>
      <w:bCs/>
      <w:smallCaps/>
      <w:spacing w:val="5"/>
    </w:rPr>
  </w:style>
  <w:style w:type="paragraph" w:customStyle="1" w:styleId="Table">
    <w:name w:val="Table"/>
    <w:basedOn w:val="TableofFigures"/>
    <w:link w:val="TableChar"/>
    <w:rsid w:val="005307B3"/>
    <w:pPr>
      <w:spacing w:after="200"/>
    </w:pPr>
    <w:rPr>
      <w:rFonts w:ascii="Arial" w:hAnsi="Arial" w:cs="Arial"/>
    </w:rPr>
  </w:style>
  <w:style w:type="character" w:customStyle="1" w:styleId="TableChar">
    <w:name w:val="Table Char"/>
    <w:link w:val="Table"/>
    <w:rsid w:val="005307B3"/>
    <w:rPr>
      <w:rFonts w:ascii="Arial" w:hAnsi="Arial" w:cs="Arial"/>
      <w:lang w:bidi="en-US"/>
    </w:rPr>
  </w:style>
  <w:style w:type="table" w:customStyle="1" w:styleId="MediumShading21">
    <w:name w:val="Medium Shading 21"/>
    <w:basedOn w:val="TableNormal"/>
    <w:uiPriority w:val="64"/>
    <w:rsid w:val="00D6264C"/>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000000"/>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000000"/>
      </w:tcPr>
    </w:tblStylePr>
    <w:tblStylePr w:type="lastCol">
      <w:rPr>
        <w:b/>
        <w:bCs/>
        <w:color w:val="FFFFFF"/>
      </w:rPr>
      <w:tblPr/>
      <w:tcPr>
        <w:tcBorders>
          <w:left w:val="nil"/>
          <w:right w:val="nil"/>
          <w:insideH w:val="nil"/>
          <w:insideV w:val="nil"/>
        </w:tcBorders>
        <w:shd w:val="clear" w:color="auto" w:fill="000000"/>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LightShading1">
    <w:name w:val="Light Shading1"/>
    <w:basedOn w:val="TableNormal"/>
    <w:uiPriority w:val="60"/>
    <w:rsid w:val="00D6264C"/>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ColorfulShading1">
    <w:name w:val="Colorful Shading1"/>
    <w:basedOn w:val="TableNormal"/>
    <w:uiPriority w:val="71"/>
    <w:rsid w:val="00D6264C"/>
    <w:rPr>
      <w:color w:val="000000"/>
    </w:rPr>
    <w:tblPr>
      <w:tblStyleRowBandSize w:val="1"/>
      <w:tblStyleColBandSize w:val="1"/>
      <w:tblBorders>
        <w:top w:val="single" w:sz="24" w:space="0" w:color="C0504D"/>
        <w:left w:val="single" w:sz="4" w:space="0" w:color="000000"/>
        <w:bottom w:val="single" w:sz="4" w:space="0" w:color="000000"/>
        <w:right w:val="single" w:sz="4" w:space="0" w:color="000000"/>
        <w:insideH w:val="single" w:sz="4" w:space="0" w:color="FFFFFF"/>
        <w:insideV w:val="single" w:sz="4" w:space="0" w:color="FFFFFF"/>
      </w:tblBorders>
    </w:tblPr>
    <w:tcPr>
      <w:shd w:val="clear" w:color="auto" w:fill="E6E6E6"/>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000000"/>
      </w:tcPr>
    </w:tblStylePr>
    <w:tblStylePr w:type="firstCol">
      <w:rPr>
        <w:color w:val="FFFFFF"/>
      </w:rPr>
      <w:tblPr/>
      <w:tcPr>
        <w:tcBorders>
          <w:top w:val="nil"/>
          <w:left w:val="nil"/>
          <w:bottom w:val="nil"/>
          <w:right w:val="nil"/>
          <w:insideH w:val="single" w:sz="4" w:space="0" w:color="000000"/>
          <w:insideV w:val="nil"/>
        </w:tcBorders>
        <w:shd w:val="clear" w:color="auto" w:fill="000000"/>
      </w:tcPr>
    </w:tblStylePr>
    <w:tblStylePr w:type="lastCol">
      <w:rPr>
        <w:color w:val="FFFFFF"/>
      </w:rPr>
      <w:tblPr/>
      <w:tcPr>
        <w:tcBorders>
          <w:top w:val="nil"/>
          <w:left w:val="nil"/>
          <w:bottom w:val="nil"/>
          <w:right w:val="nil"/>
          <w:insideH w:val="nil"/>
          <w:insideV w:val="nil"/>
        </w:tcBorders>
        <w:shd w:val="clear" w:color="auto" w:fill="000000"/>
      </w:tcPr>
    </w:tblStylePr>
    <w:tblStylePr w:type="band1Vert">
      <w:tblPr/>
      <w:tcPr>
        <w:shd w:val="clear" w:color="auto" w:fill="999999"/>
      </w:tcPr>
    </w:tblStylePr>
    <w:tblStylePr w:type="band1Horz">
      <w:tblPr/>
      <w:tcPr>
        <w:shd w:val="clear" w:color="auto" w:fill="808080"/>
      </w:tcPr>
    </w:tblStylePr>
    <w:tblStylePr w:type="neCell">
      <w:rPr>
        <w:color w:val="000000"/>
      </w:rPr>
    </w:tblStylePr>
    <w:tblStylePr w:type="nwCell">
      <w:rPr>
        <w:color w:val="000000"/>
      </w:rPr>
    </w:tblStylePr>
  </w:style>
  <w:style w:type="table" w:customStyle="1" w:styleId="MediumGrid31">
    <w:name w:val="Medium Grid 31"/>
    <w:basedOn w:val="TableNormal"/>
    <w:uiPriority w:val="69"/>
    <w:rsid w:val="00460E6F"/>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C0C0C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000000"/>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000000"/>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000000"/>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000000"/>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80808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808080"/>
      </w:tcPr>
    </w:tblStylePr>
  </w:style>
  <w:style w:type="paragraph" w:customStyle="1" w:styleId="tabletext">
    <w:name w:val="table text"/>
    <w:basedOn w:val="Normal"/>
    <w:link w:val="tabletextChar"/>
    <w:rsid w:val="00637278"/>
    <w:pPr>
      <w:spacing w:before="40" w:after="80" w:line="240" w:lineRule="auto"/>
      <w:jc w:val="both"/>
    </w:pPr>
    <w:rPr>
      <w:rFonts w:ascii="Arial (W1)" w:hAnsi="Arial (W1)" w:cs="Arial"/>
      <w:bCs/>
      <w:sz w:val="18"/>
      <w:szCs w:val="24"/>
      <w:lang w:bidi="ar-SA"/>
    </w:rPr>
  </w:style>
  <w:style w:type="character" w:customStyle="1" w:styleId="tabletextChar">
    <w:name w:val="table text Char"/>
    <w:link w:val="tabletext"/>
    <w:rsid w:val="00133054"/>
    <w:rPr>
      <w:rFonts w:ascii="Arial (W1)" w:hAnsi="Arial (W1)" w:cs="Arial"/>
      <w:bCs/>
      <w:sz w:val="18"/>
      <w:szCs w:val="24"/>
    </w:rPr>
  </w:style>
  <w:style w:type="table" w:customStyle="1" w:styleId="LightList2">
    <w:name w:val="Light List2"/>
    <w:basedOn w:val="TableNormal"/>
    <w:uiPriority w:val="61"/>
    <w:rsid w:val="000139A5"/>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character" w:styleId="LineNumber">
    <w:name w:val="line number"/>
    <w:basedOn w:val="DefaultParagraphFont"/>
    <w:rsid w:val="00BA6F7E"/>
  </w:style>
  <w:style w:type="character" w:styleId="PageNumber">
    <w:name w:val="page number"/>
    <w:basedOn w:val="DefaultParagraphFont"/>
    <w:rsid w:val="00BA6F7E"/>
  </w:style>
  <w:style w:type="paragraph" w:styleId="EndnoteText">
    <w:name w:val="endnote text"/>
    <w:basedOn w:val="Normal"/>
    <w:link w:val="EndnoteTextChar"/>
    <w:uiPriority w:val="99"/>
    <w:unhideWhenUsed/>
    <w:rsid w:val="006C328D"/>
    <w:pPr>
      <w:spacing w:after="0" w:line="240" w:lineRule="auto"/>
    </w:pPr>
    <w:rPr>
      <w:rFonts w:ascii="Times New Roman" w:hAnsi="Times New Roman"/>
      <w:sz w:val="20"/>
      <w:szCs w:val="20"/>
      <w:lang w:bidi="ar-SA"/>
    </w:rPr>
  </w:style>
  <w:style w:type="character" w:customStyle="1" w:styleId="EndnoteTextChar">
    <w:name w:val="Endnote Text Char"/>
    <w:link w:val="EndnoteText"/>
    <w:uiPriority w:val="99"/>
    <w:rsid w:val="006C328D"/>
    <w:rPr>
      <w:rFonts w:ascii="Times New Roman" w:hAnsi="Times New Roman"/>
    </w:rPr>
  </w:style>
  <w:style w:type="paragraph" w:styleId="BodyText0">
    <w:name w:val="Body Text"/>
    <w:basedOn w:val="Normal"/>
    <w:link w:val="BodyTextChar"/>
    <w:unhideWhenUsed/>
    <w:rsid w:val="00112584"/>
    <w:pPr>
      <w:spacing w:after="120"/>
    </w:pPr>
  </w:style>
  <w:style w:type="character" w:customStyle="1" w:styleId="BodyTextChar">
    <w:name w:val="Body Text Char"/>
    <w:link w:val="BodyText0"/>
    <w:rsid w:val="00112584"/>
    <w:rPr>
      <w:sz w:val="22"/>
      <w:szCs w:val="22"/>
      <w:lang w:bidi="en-US"/>
    </w:rPr>
  </w:style>
  <w:style w:type="table" w:styleId="MediumGrid3-Accent3">
    <w:name w:val="Medium Grid 3 Accent 3"/>
    <w:basedOn w:val="TableNormal"/>
    <w:uiPriority w:val="69"/>
    <w:rsid w:val="009566CD"/>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table" w:styleId="MediumShading1-Accent3">
    <w:name w:val="Medium Shading 1 Accent 3"/>
    <w:basedOn w:val="TableNormal"/>
    <w:uiPriority w:val="63"/>
    <w:rsid w:val="005A2D2E"/>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line="240" w:lineRule="auto"/>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line="240" w:lineRule="auto"/>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table" w:styleId="MediumShading2-Accent3">
    <w:name w:val="Medium Shading 2 Accent 3"/>
    <w:basedOn w:val="TableNormal"/>
    <w:uiPriority w:val="64"/>
    <w:rsid w:val="005A2D2E"/>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9BBB59"/>
      </w:tcPr>
    </w:tblStylePr>
    <w:tblStylePr w:type="lastCol">
      <w:rPr>
        <w:b/>
        <w:bCs/>
        <w:color w:val="FFFFFF"/>
      </w:rPr>
      <w:tblPr/>
      <w:tcPr>
        <w:tcBorders>
          <w:left w:val="nil"/>
          <w:right w:val="nil"/>
          <w:insideH w:val="nil"/>
          <w:insideV w:val="nil"/>
        </w:tcBorders>
        <w:shd w:val="clear" w:color="auto" w:fill="9BBB59"/>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paragraph" w:customStyle="1" w:styleId="Pa7">
    <w:name w:val="Pa7"/>
    <w:basedOn w:val="Normal"/>
    <w:next w:val="Normal"/>
    <w:uiPriority w:val="99"/>
    <w:rsid w:val="0024331A"/>
    <w:pPr>
      <w:autoSpaceDE w:val="0"/>
      <w:autoSpaceDN w:val="0"/>
      <w:adjustRightInd w:val="0"/>
      <w:spacing w:after="0" w:line="161" w:lineRule="atLeast"/>
    </w:pPr>
    <w:rPr>
      <w:rFonts w:ascii="Times New Roman" w:hAnsi="Times New Roman"/>
      <w:sz w:val="24"/>
      <w:szCs w:val="24"/>
      <w:lang w:bidi="ar-SA"/>
    </w:rPr>
  </w:style>
  <w:style w:type="character" w:customStyle="1" w:styleId="A2">
    <w:name w:val="A2"/>
    <w:uiPriority w:val="99"/>
    <w:rsid w:val="0024331A"/>
    <w:rPr>
      <w:color w:val="221E1F"/>
      <w:sz w:val="20"/>
      <w:szCs w:val="20"/>
    </w:rPr>
  </w:style>
  <w:style w:type="paragraph" w:customStyle="1" w:styleId="Pa13">
    <w:name w:val="Pa13"/>
    <w:basedOn w:val="Normal"/>
    <w:next w:val="Normal"/>
    <w:uiPriority w:val="99"/>
    <w:rsid w:val="0024331A"/>
    <w:pPr>
      <w:autoSpaceDE w:val="0"/>
      <w:autoSpaceDN w:val="0"/>
      <w:adjustRightInd w:val="0"/>
      <w:spacing w:after="0" w:line="221" w:lineRule="atLeast"/>
    </w:pPr>
    <w:rPr>
      <w:rFonts w:ascii="Times New Roman" w:hAnsi="Times New Roman"/>
      <w:sz w:val="24"/>
      <w:szCs w:val="24"/>
      <w:lang w:bidi="ar-SA"/>
    </w:rPr>
  </w:style>
  <w:style w:type="character" w:customStyle="1" w:styleId="A14">
    <w:name w:val="A14"/>
    <w:uiPriority w:val="99"/>
    <w:rsid w:val="0024331A"/>
    <w:rPr>
      <w:color w:val="221E1F"/>
      <w:sz w:val="16"/>
      <w:szCs w:val="16"/>
    </w:rPr>
  </w:style>
  <w:style w:type="character" w:customStyle="1" w:styleId="A3">
    <w:name w:val="A3"/>
    <w:uiPriority w:val="99"/>
    <w:rsid w:val="0024331A"/>
    <w:rPr>
      <w:color w:val="221E1F"/>
      <w:sz w:val="11"/>
      <w:szCs w:val="11"/>
    </w:rPr>
  </w:style>
  <w:style w:type="character" w:customStyle="1" w:styleId="A21">
    <w:name w:val="A2+1"/>
    <w:uiPriority w:val="99"/>
    <w:rsid w:val="0024331A"/>
    <w:rPr>
      <w:color w:val="221E1F"/>
      <w:sz w:val="20"/>
      <w:szCs w:val="20"/>
    </w:rPr>
  </w:style>
  <w:style w:type="paragraph" w:customStyle="1" w:styleId="Pa61">
    <w:name w:val="Pa6+1"/>
    <w:basedOn w:val="Normal"/>
    <w:next w:val="Normal"/>
    <w:uiPriority w:val="99"/>
    <w:rsid w:val="0024331A"/>
    <w:pPr>
      <w:autoSpaceDE w:val="0"/>
      <w:autoSpaceDN w:val="0"/>
      <w:adjustRightInd w:val="0"/>
      <w:spacing w:after="0" w:line="241" w:lineRule="atLeast"/>
    </w:pPr>
    <w:rPr>
      <w:rFonts w:ascii="Times New Roman" w:hAnsi="Times New Roman"/>
      <w:sz w:val="24"/>
      <w:szCs w:val="24"/>
      <w:lang w:bidi="ar-SA"/>
    </w:rPr>
  </w:style>
  <w:style w:type="paragraph" w:customStyle="1" w:styleId="Pa101">
    <w:name w:val="Pa10+1"/>
    <w:basedOn w:val="Normal"/>
    <w:next w:val="Normal"/>
    <w:uiPriority w:val="99"/>
    <w:rsid w:val="0024331A"/>
    <w:pPr>
      <w:autoSpaceDE w:val="0"/>
      <w:autoSpaceDN w:val="0"/>
      <w:adjustRightInd w:val="0"/>
      <w:spacing w:after="0" w:line="241" w:lineRule="atLeast"/>
    </w:pPr>
    <w:rPr>
      <w:rFonts w:ascii="Times New Roman" w:hAnsi="Times New Roman"/>
      <w:sz w:val="24"/>
      <w:szCs w:val="24"/>
      <w:lang w:bidi="ar-SA"/>
    </w:rPr>
  </w:style>
  <w:style w:type="paragraph" w:customStyle="1" w:styleId="Pa131">
    <w:name w:val="Pa13+1"/>
    <w:basedOn w:val="Normal"/>
    <w:next w:val="Normal"/>
    <w:uiPriority w:val="99"/>
    <w:rsid w:val="0024331A"/>
    <w:pPr>
      <w:autoSpaceDE w:val="0"/>
      <w:autoSpaceDN w:val="0"/>
      <w:adjustRightInd w:val="0"/>
      <w:spacing w:after="0" w:line="221" w:lineRule="atLeast"/>
    </w:pPr>
    <w:rPr>
      <w:rFonts w:ascii="Times New Roman" w:hAnsi="Times New Roman"/>
      <w:sz w:val="24"/>
      <w:szCs w:val="24"/>
      <w:lang w:bidi="ar-SA"/>
    </w:rPr>
  </w:style>
  <w:style w:type="character" w:customStyle="1" w:styleId="A161">
    <w:name w:val="A16+1"/>
    <w:uiPriority w:val="99"/>
    <w:rsid w:val="0024331A"/>
    <w:rPr>
      <w:color w:val="221E1F"/>
      <w:sz w:val="11"/>
      <w:szCs w:val="11"/>
    </w:rPr>
  </w:style>
  <w:style w:type="character" w:customStyle="1" w:styleId="A31">
    <w:name w:val="A3+1"/>
    <w:uiPriority w:val="99"/>
    <w:rsid w:val="0024331A"/>
    <w:rPr>
      <w:color w:val="221E1F"/>
      <w:sz w:val="11"/>
      <w:szCs w:val="11"/>
    </w:rPr>
  </w:style>
  <w:style w:type="paragraph" w:customStyle="1" w:styleId="space">
    <w:name w:val="space"/>
    <w:basedOn w:val="Table"/>
    <w:qFormat/>
    <w:rsid w:val="0024331A"/>
    <w:pPr>
      <w:spacing w:after="0" w:line="240" w:lineRule="auto"/>
    </w:pPr>
    <w:rPr>
      <w:sz w:val="12"/>
    </w:rPr>
  </w:style>
  <w:style w:type="paragraph" w:styleId="PlainText">
    <w:name w:val="Plain Text"/>
    <w:basedOn w:val="Normal"/>
    <w:link w:val="PlainTextChar"/>
    <w:uiPriority w:val="99"/>
    <w:unhideWhenUsed/>
    <w:rsid w:val="00745518"/>
    <w:pPr>
      <w:spacing w:after="0" w:line="240" w:lineRule="auto"/>
    </w:pPr>
    <w:rPr>
      <w:rFonts w:ascii="Consolas" w:eastAsia="Calibri" w:hAnsi="Consolas"/>
      <w:sz w:val="21"/>
      <w:szCs w:val="21"/>
      <w:lang w:bidi="ar-SA"/>
    </w:rPr>
  </w:style>
  <w:style w:type="character" w:customStyle="1" w:styleId="PlainTextChar">
    <w:name w:val="Plain Text Char"/>
    <w:link w:val="PlainText"/>
    <w:uiPriority w:val="99"/>
    <w:rsid w:val="00745518"/>
    <w:rPr>
      <w:rFonts w:ascii="Consolas" w:eastAsia="Calibri" w:hAnsi="Consolas" w:cs="Times New Roman"/>
      <w:sz w:val="21"/>
      <w:szCs w:val="21"/>
    </w:rPr>
  </w:style>
  <w:style w:type="character" w:customStyle="1" w:styleId="ColorfulGrid-Accent1Char">
    <w:name w:val="Colorful Grid - Accent 1 Char"/>
    <w:link w:val="ColorfulGrid-Accent1"/>
    <w:uiPriority w:val="29"/>
    <w:rsid w:val="004E309B"/>
    <w:rPr>
      <w:i/>
      <w:iCs/>
      <w:color w:val="000000"/>
    </w:rPr>
  </w:style>
  <w:style w:type="table" w:styleId="ColorfulGrid-Accent1">
    <w:name w:val="Colorful Grid Accent 1"/>
    <w:basedOn w:val="TableNormal"/>
    <w:link w:val="ColorfulGrid-Accent1Char"/>
    <w:uiPriority w:val="29"/>
    <w:rsid w:val="004E309B"/>
    <w:rPr>
      <w:i/>
      <w:iCs/>
      <w:color w:val="000000"/>
    </w:rPr>
    <w:tblPr>
      <w:tblStyleRowBandSize w:val="1"/>
      <w:tblStyleColBandSize w:val="1"/>
      <w:tblBorders>
        <w:insideH w:val="single" w:sz="4" w:space="0" w:color="FFFFFF"/>
      </w:tblBorders>
    </w:tblPr>
    <w:tcPr>
      <w:shd w:val="clear" w:color="auto" w:fill="DBE5F1"/>
    </w:tcPr>
    <w:tblStylePr w:type="firstRow">
      <w:tblPr/>
      <w:tcPr>
        <w:shd w:val="clear" w:color="auto" w:fill="B8CCE4"/>
      </w:tcPr>
    </w:tblStylePr>
    <w:tblStylePr w:type="lastRow">
      <w:tblPr/>
      <w:tcPr>
        <w:shd w:val="clear" w:color="auto" w:fill="B8CCE4"/>
      </w:tcPr>
    </w:tblStylePr>
    <w:tblStylePr w:type="firstCol">
      <w:tblPr/>
      <w:tcPr>
        <w:shd w:val="clear" w:color="auto" w:fill="365F91"/>
      </w:tcPr>
    </w:tblStylePr>
    <w:tblStylePr w:type="lastCol">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character" w:customStyle="1" w:styleId="LightShading-Accent2Char">
    <w:name w:val="Light Shading - Accent 2 Char"/>
    <w:link w:val="LightShading-Accent2"/>
    <w:uiPriority w:val="30"/>
    <w:rsid w:val="004E309B"/>
    <w:rPr>
      <w:b/>
      <w:bCs/>
      <w:i/>
      <w:iCs/>
      <w:color w:val="4F81BD"/>
    </w:rPr>
  </w:style>
  <w:style w:type="table" w:styleId="LightShading-Accent2">
    <w:name w:val="Light Shading Accent 2"/>
    <w:basedOn w:val="TableNormal"/>
    <w:link w:val="LightShading-Accent2Char"/>
    <w:uiPriority w:val="30"/>
    <w:rsid w:val="004E309B"/>
    <w:rPr>
      <w:b/>
      <w:bCs/>
      <w:i/>
      <w:iCs/>
      <w:color w:val="4F81BD"/>
    </w:rPr>
    <w:tblPr>
      <w:tblStyleRowBandSize w:val="1"/>
      <w:tblStyleColBandSize w:val="1"/>
      <w:tblBorders>
        <w:top w:val="single" w:sz="8" w:space="0" w:color="C0504D"/>
        <w:bottom w:val="single" w:sz="8" w:space="0" w:color="C0504D"/>
      </w:tblBorders>
    </w:tblPr>
    <w:tblStylePr w:type="firstRow">
      <w:pPr>
        <w:spacing w:before="0" w:after="0" w:line="240" w:lineRule="auto"/>
      </w:p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tblPr/>
      <w:tcPr>
        <w:tcBorders>
          <w:top w:val="single" w:sz="8" w:space="0" w:color="C0504D"/>
          <w:left w:val="nil"/>
          <w:bottom w:val="single" w:sz="8" w:space="0" w:color="C0504D"/>
          <w:right w:val="nil"/>
          <w:insideH w:val="nil"/>
          <w:insideV w:val="nil"/>
        </w:tcBorders>
      </w:tc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character" w:customStyle="1" w:styleId="citation">
    <w:name w:val="citation"/>
    <w:rsid w:val="004E309B"/>
    <w:rPr>
      <w:i w:val="0"/>
      <w:iCs w:val="0"/>
    </w:rPr>
  </w:style>
  <w:style w:type="table" w:styleId="ColorfulGrid-Accent3">
    <w:name w:val="Colorful Grid Accent 3"/>
    <w:basedOn w:val="TableNormal"/>
    <w:uiPriority w:val="64"/>
    <w:rsid w:val="004E309B"/>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9BBB59"/>
      </w:tcPr>
    </w:tblStylePr>
    <w:tblStylePr w:type="lastCol">
      <w:rPr>
        <w:b/>
        <w:bCs/>
        <w:color w:val="FFFFFF"/>
      </w:rPr>
      <w:tblPr/>
      <w:tcPr>
        <w:tcBorders>
          <w:left w:val="nil"/>
          <w:right w:val="nil"/>
          <w:insideH w:val="nil"/>
          <w:insideV w:val="nil"/>
        </w:tcBorders>
        <w:shd w:val="clear" w:color="auto" w:fill="9BBB59"/>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paragraph" w:customStyle="1" w:styleId="NormalBodyText">
    <w:name w:val="Normal Body Text"/>
    <w:basedOn w:val="Normal"/>
    <w:rsid w:val="00236356"/>
    <w:pPr>
      <w:spacing w:after="120" w:line="240" w:lineRule="auto"/>
      <w:ind w:firstLine="720"/>
    </w:pPr>
    <w:rPr>
      <w:rFonts w:ascii="Times New Roman" w:hAnsi="Times New Roman"/>
      <w:sz w:val="24"/>
      <w:szCs w:val="20"/>
      <w:lang w:bidi="ar-SA"/>
    </w:rPr>
  </w:style>
  <w:style w:type="paragraph" w:customStyle="1" w:styleId="Default">
    <w:name w:val="Default"/>
    <w:qFormat/>
    <w:rsid w:val="000837CF"/>
    <w:pPr>
      <w:autoSpaceDE w:val="0"/>
      <w:autoSpaceDN w:val="0"/>
      <w:adjustRightInd w:val="0"/>
    </w:pPr>
    <w:rPr>
      <w:rFonts w:ascii="Calibri" w:eastAsia="Calibri" w:hAnsi="Calibri" w:cs="Calibri"/>
      <w:color w:val="000000"/>
      <w:sz w:val="24"/>
      <w:szCs w:val="24"/>
    </w:rPr>
  </w:style>
  <w:style w:type="paragraph" w:customStyle="1" w:styleId="first">
    <w:name w:val="first"/>
    <w:basedOn w:val="Normal"/>
    <w:rsid w:val="000837CF"/>
    <w:pPr>
      <w:spacing w:before="100" w:beforeAutospacing="1" w:after="100" w:afterAutospacing="1" w:line="240" w:lineRule="auto"/>
    </w:pPr>
    <w:rPr>
      <w:rFonts w:ascii="Times New Roman" w:hAnsi="Times New Roman"/>
      <w:sz w:val="24"/>
      <w:szCs w:val="24"/>
      <w:lang w:bidi="ar-SA"/>
    </w:rPr>
  </w:style>
  <w:style w:type="paragraph" w:styleId="TOC4">
    <w:name w:val="toc 4"/>
    <w:basedOn w:val="Normal"/>
    <w:next w:val="Normal"/>
    <w:autoRedefine/>
    <w:uiPriority w:val="39"/>
    <w:unhideWhenUsed/>
    <w:rsid w:val="00070310"/>
    <w:pPr>
      <w:spacing w:after="100"/>
      <w:ind w:left="660"/>
    </w:pPr>
    <w:rPr>
      <w:lang w:bidi="ar-SA"/>
    </w:rPr>
  </w:style>
  <w:style w:type="paragraph" w:styleId="TOC5">
    <w:name w:val="toc 5"/>
    <w:basedOn w:val="Normal"/>
    <w:next w:val="Normal"/>
    <w:autoRedefine/>
    <w:unhideWhenUsed/>
    <w:rsid w:val="00070310"/>
    <w:pPr>
      <w:spacing w:after="100"/>
      <w:ind w:left="880"/>
    </w:pPr>
    <w:rPr>
      <w:lang w:bidi="ar-SA"/>
    </w:rPr>
  </w:style>
  <w:style w:type="paragraph" w:styleId="TOC6">
    <w:name w:val="toc 6"/>
    <w:basedOn w:val="Normal"/>
    <w:next w:val="Normal"/>
    <w:autoRedefine/>
    <w:unhideWhenUsed/>
    <w:rsid w:val="00070310"/>
    <w:pPr>
      <w:spacing w:after="100"/>
      <w:ind w:left="1100"/>
    </w:pPr>
    <w:rPr>
      <w:lang w:bidi="ar-SA"/>
    </w:rPr>
  </w:style>
  <w:style w:type="paragraph" w:styleId="TOC7">
    <w:name w:val="toc 7"/>
    <w:basedOn w:val="Normal"/>
    <w:next w:val="Normal"/>
    <w:autoRedefine/>
    <w:unhideWhenUsed/>
    <w:rsid w:val="00070310"/>
    <w:pPr>
      <w:spacing w:after="100"/>
      <w:ind w:left="1320"/>
    </w:pPr>
    <w:rPr>
      <w:lang w:bidi="ar-SA"/>
    </w:rPr>
  </w:style>
  <w:style w:type="paragraph" w:styleId="TOC8">
    <w:name w:val="toc 8"/>
    <w:basedOn w:val="Normal"/>
    <w:next w:val="Normal"/>
    <w:autoRedefine/>
    <w:unhideWhenUsed/>
    <w:rsid w:val="00070310"/>
    <w:pPr>
      <w:spacing w:after="100"/>
      <w:ind w:left="1540"/>
    </w:pPr>
    <w:rPr>
      <w:lang w:bidi="ar-SA"/>
    </w:rPr>
  </w:style>
  <w:style w:type="paragraph" w:styleId="TOC9">
    <w:name w:val="toc 9"/>
    <w:basedOn w:val="Normal"/>
    <w:next w:val="Normal"/>
    <w:autoRedefine/>
    <w:unhideWhenUsed/>
    <w:rsid w:val="00070310"/>
    <w:pPr>
      <w:spacing w:after="100"/>
      <w:ind w:left="1760"/>
    </w:pPr>
    <w:rPr>
      <w:lang w:bidi="ar-SA"/>
    </w:rPr>
  </w:style>
  <w:style w:type="paragraph" w:customStyle="1" w:styleId="TableBody">
    <w:name w:val="Table Body"/>
    <w:basedOn w:val="Normal"/>
    <w:rsid w:val="00827362"/>
    <w:pPr>
      <w:spacing w:before="60" w:after="60" w:line="240" w:lineRule="auto"/>
    </w:pPr>
    <w:rPr>
      <w:rFonts w:ascii="Arial" w:hAnsi="Arial"/>
      <w:sz w:val="18"/>
      <w:szCs w:val="20"/>
      <w:lang w:bidi="ar-SA"/>
    </w:rPr>
  </w:style>
  <w:style w:type="paragraph" w:customStyle="1" w:styleId="TableHeading">
    <w:name w:val="Table Heading"/>
    <w:basedOn w:val="BodyText0"/>
    <w:rsid w:val="00827362"/>
    <w:pPr>
      <w:spacing w:before="60" w:after="60" w:line="240" w:lineRule="auto"/>
      <w:jc w:val="center"/>
    </w:pPr>
    <w:rPr>
      <w:rFonts w:ascii="Arial" w:hAnsi="Arial"/>
      <w:b/>
      <w:sz w:val="18"/>
      <w:szCs w:val="24"/>
      <w:lang w:bidi="ar-SA"/>
    </w:rPr>
  </w:style>
  <w:style w:type="paragraph" w:customStyle="1" w:styleId="TableNotes">
    <w:name w:val="Table Notes"/>
    <w:basedOn w:val="TableBody"/>
    <w:rsid w:val="00827362"/>
    <w:pPr>
      <w:spacing w:after="0"/>
    </w:pPr>
  </w:style>
  <w:style w:type="paragraph" w:customStyle="1" w:styleId="TableTitle">
    <w:name w:val="Table Title"/>
    <w:basedOn w:val="BodyText0"/>
    <w:next w:val="BodyText0"/>
    <w:rsid w:val="00827362"/>
    <w:pPr>
      <w:keepNext/>
      <w:spacing w:before="240" w:line="240" w:lineRule="auto"/>
      <w:jc w:val="center"/>
    </w:pPr>
    <w:rPr>
      <w:rFonts w:ascii="Arial" w:hAnsi="Arial"/>
      <w:b/>
      <w:sz w:val="20"/>
      <w:szCs w:val="24"/>
      <w:lang w:bidi="ar-SA"/>
    </w:rPr>
  </w:style>
  <w:style w:type="paragraph" w:customStyle="1" w:styleId="Heading20">
    <w:name w:val="Heading2"/>
    <w:basedOn w:val="Heading2"/>
    <w:link w:val="Heading2Char0"/>
    <w:qFormat/>
    <w:rsid w:val="00B40221"/>
    <w:pPr>
      <w:tabs>
        <w:tab w:val="clear" w:pos="504"/>
      </w:tabs>
      <w:spacing w:before="120" w:after="80" w:line="276" w:lineRule="auto"/>
      <w:ind w:left="0" w:firstLine="0"/>
    </w:pPr>
    <w:rPr>
      <w:rFonts w:ascii="Arial" w:hAnsi="Arial"/>
      <w:color w:val="000000"/>
      <w:sz w:val="26"/>
    </w:rPr>
  </w:style>
  <w:style w:type="character" w:customStyle="1" w:styleId="Heading2Char0">
    <w:name w:val="Heading2 Char"/>
    <w:link w:val="Heading20"/>
    <w:rsid w:val="00B40221"/>
    <w:rPr>
      <w:rFonts w:ascii="Arial" w:eastAsia="Times New Roman" w:hAnsi="Arial" w:cs="Times New Roman"/>
      <w:b/>
      <w:bCs/>
      <w:color w:val="000000"/>
      <w:sz w:val="26"/>
      <w:szCs w:val="26"/>
      <w:lang w:bidi="en-US"/>
    </w:rPr>
  </w:style>
  <w:style w:type="paragraph" w:customStyle="1" w:styleId="PlaceholderText1">
    <w:name w:val="Placeholder Text1"/>
    <w:basedOn w:val="Normal"/>
    <w:rsid w:val="00133054"/>
    <w:pPr>
      <w:keepNext/>
      <w:numPr>
        <w:numId w:val="1"/>
      </w:numPr>
      <w:spacing w:after="0" w:line="240" w:lineRule="auto"/>
      <w:contextualSpacing/>
      <w:outlineLvl w:val="0"/>
    </w:pPr>
    <w:rPr>
      <w:rFonts w:ascii="Verdana" w:eastAsia="MS Gothic" w:hAnsi="Verdana"/>
      <w:sz w:val="24"/>
      <w:szCs w:val="24"/>
    </w:rPr>
  </w:style>
  <w:style w:type="paragraph" w:customStyle="1" w:styleId="NoteLevel31">
    <w:name w:val="Note Level 31"/>
    <w:basedOn w:val="Normal"/>
    <w:rsid w:val="00133054"/>
    <w:pPr>
      <w:keepNext/>
      <w:tabs>
        <w:tab w:val="num" w:pos="1440"/>
      </w:tabs>
      <w:spacing w:after="0" w:line="240" w:lineRule="auto"/>
      <w:ind w:left="1800" w:hanging="360"/>
      <w:contextualSpacing/>
      <w:outlineLvl w:val="2"/>
    </w:pPr>
    <w:rPr>
      <w:rFonts w:ascii="Verdana" w:eastAsia="MS Gothic" w:hAnsi="Verdana"/>
      <w:sz w:val="24"/>
      <w:szCs w:val="24"/>
    </w:rPr>
  </w:style>
  <w:style w:type="paragraph" w:customStyle="1" w:styleId="NoteLevel41">
    <w:name w:val="Note Level 41"/>
    <w:basedOn w:val="Normal"/>
    <w:rsid w:val="00133054"/>
    <w:pPr>
      <w:keepNext/>
      <w:tabs>
        <w:tab w:val="num" w:pos="2160"/>
      </w:tabs>
      <w:spacing w:after="0" w:line="240" w:lineRule="auto"/>
      <w:ind w:left="2520" w:hanging="360"/>
      <w:contextualSpacing/>
      <w:outlineLvl w:val="3"/>
    </w:pPr>
    <w:rPr>
      <w:rFonts w:ascii="Verdana" w:eastAsia="MS Gothic" w:hAnsi="Verdana"/>
      <w:sz w:val="24"/>
      <w:szCs w:val="24"/>
    </w:rPr>
  </w:style>
  <w:style w:type="paragraph" w:customStyle="1" w:styleId="NoteLevel51">
    <w:name w:val="Note Level 51"/>
    <w:basedOn w:val="Normal"/>
    <w:rsid w:val="00133054"/>
    <w:pPr>
      <w:keepNext/>
      <w:tabs>
        <w:tab w:val="num" w:pos="2880"/>
      </w:tabs>
      <w:spacing w:after="0" w:line="240" w:lineRule="auto"/>
      <w:ind w:left="3240" w:hanging="360"/>
      <w:contextualSpacing/>
      <w:outlineLvl w:val="4"/>
    </w:pPr>
    <w:rPr>
      <w:rFonts w:ascii="Verdana" w:eastAsia="MS Gothic" w:hAnsi="Verdana"/>
      <w:sz w:val="24"/>
      <w:szCs w:val="24"/>
    </w:rPr>
  </w:style>
  <w:style w:type="paragraph" w:customStyle="1" w:styleId="NoteLevel61">
    <w:name w:val="Note Level 61"/>
    <w:basedOn w:val="Normal"/>
    <w:semiHidden/>
    <w:rsid w:val="00133054"/>
    <w:pPr>
      <w:keepNext/>
      <w:tabs>
        <w:tab w:val="num" w:pos="3600"/>
      </w:tabs>
      <w:spacing w:after="0" w:line="240" w:lineRule="auto"/>
      <w:ind w:left="3960" w:hanging="360"/>
      <w:contextualSpacing/>
      <w:outlineLvl w:val="5"/>
    </w:pPr>
    <w:rPr>
      <w:rFonts w:ascii="Verdana" w:eastAsia="MS Gothic" w:hAnsi="Verdana"/>
      <w:sz w:val="24"/>
      <w:szCs w:val="24"/>
    </w:rPr>
  </w:style>
  <w:style w:type="paragraph" w:customStyle="1" w:styleId="NoteLevel71">
    <w:name w:val="Note Level 71"/>
    <w:basedOn w:val="Normal"/>
    <w:semiHidden/>
    <w:rsid w:val="00133054"/>
    <w:pPr>
      <w:keepNext/>
      <w:tabs>
        <w:tab w:val="num" w:pos="4320"/>
      </w:tabs>
      <w:spacing w:after="0" w:line="240" w:lineRule="auto"/>
      <w:ind w:left="4680" w:hanging="360"/>
      <w:contextualSpacing/>
      <w:outlineLvl w:val="6"/>
    </w:pPr>
    <w:rPr>
      <w:rFonts w:ascii="Verdana" w:eastAsia="MS Gothic" w:hAnsi="Verdana"/>
      <w:sz w:val="24"/>
      <w:szCs w:val="24"/>
    </w:rPr>
  </w:style>
  <w:style w:type="paragraph" w:customStyle="1" w:styleId="NoteLevel81">
    <w:name w:val="Note Level 81"/>
    <w:basedOn w:val="Normal"/>
    <w:semiHidden/>
    <w:rsid w:val="00133054"/>
    <w:pPr>
      <w:keepNext/>
      <w:tabs>
        <w:tab w:val="num" w:pos="5040"/>
      </w:tabs>
      <w:spacing w:after="0" w:line="240" w:lineRule="auto"/>
      <w:ind w:left="5400" w:hanging="360"/>
      <w:contextualSpacing/>
      <w:outlineLvl w:val="7"/>
    </w:pPr>
    <w:rPr>
      <w:rFonts w:ascii="Verdana" w:eastAsia="MS Gothic" w:hAnsi="Verdana"/>
      <w:sz w:val="24"/>
      <w:szCs w:val="24"/>
    </w:rPr>
  </w:style>
  <w:style w:type="paragraph" w:customStyle="1" w:styleId="NoteLevel91">
    <w:name w:val="Note Level 91"/>
    <w:basedOn w:val="Normal"/>
    <w:semiHidden/>
    <w:rsid w:val="00133054"/>
    <w:pPr>
      <w:keepNext/>
      <w:tabs>
        <w:tab w:val="num" w:pos="5760"/>
      </w:tabs>
      <w:spacing w:after="0" w:line="240" w:lineRule="auto"/>
      <w:ind w:left="6120" w:hanging="360"/>
      <w:contextualSpacing/>
      <w:outlineLvl w:val="8"/>
    </w:pPr>
    <w:rPr>
      <w:rFonts w:ascii="Verdana" w:eastAsia="MS Gothic" w:hAnsi="Verdana"/>
      <w:sz w:val="24"/>
      <w:szCs w:val="24"/>
    </w:rPr>
  </w:style>
  <w:style w:type="paragraph" w:customStyle="1" w:styleId="Heading10">
    <w:name w:val="Heading1"/>
    <w:basedOn w:val="Heading1"/>
    <w:link w:val="Heading1Char0"/>
    <w:qFormat/>
    <w:rsid w:val="00133054"/>
    <w:pPr>
      <w:tabs>
        <w:tab w:val="clear" w:pos="360"/>
      </w:tabs>
      <w:spacing w:after="0"/>
      <w:ind w:left="0" w:firstLine="0"/>
    </w:pPr>
    <w:rPr>
      <w:rFonts w:ascii="Arial" w:hAnsi="Arial"/>
      <w:smallCaps/>
      <w:szCs w:val="32"/>
    </w:rPr>
  </w:style>
  <w:style w:type="character" w:customStyle="1" w:styleId="Heading1Char0">
    <w:name w:val="Heading1 Char"/>
    <w:link w:val="Heading10"/>
    <w:rsid w:val="00133054"/>
    <w:rPr>
      <w:rFonts w:ascii="Arial" w:eastAsia="Times New Roman" w:hAnsi="Arial" w:cs="Times New Roman"/>
      <w:b/>
      <w:bCs/>
      <w:smallCaps/>
      <w:color w:val="365F91"/>
      <w:sz w:val="28"/>
      <w:szCs w:val="32"/>
      <w:lang w:bidi="en-US"/>
    </w:rPr>
  </w:style>
  <w:style w:type="paragraph" w:customStyle="1" w:styleId="Figures">
    <w:name w:val="Figures"/>
    <w:basedOn w:val="Caption"/>
    <w:link w:val="FiguresChar"/>
    <w:qFormat/>
    <w:rsid w:val="00133054"/>
    <w:rPr>
      <w:rFonts w:eastAsia="MS Mincho"/>
    </w:rPr>
  </w:style>
  <w:style w:type="character" w:customStyle="1" w:styleId="FiguresChar">
    <w:name w:val="Figures Char"/>
    <w:link w:val="Figures"/>
    <w:rsid w:val="00133054"/>
    <w:rPr>
      <w:rFonts w:ascii="Calibri" w:eastAsia="MS Mincho" w:hAnsi="Calibri"/>
      <w:b/>
      <w:bCs/>
      <w:color w:val="4F81BD"/>
      <w:sz w:val="18"/>
      <w:szCs w:val="18"/>
      <w:lang w:bidi="en-US"/>
    </w:rPr>
  </w:style>
  <w:style w:type="paragraph" w:customStyle="1" w:styleId="BodyText1">
    <w:name w:val="Body Text1"/>
    <w:basedOn w:val="Normal"/>
    <w:qFormat/>
    <w:rsid w:val="00133054"/>
    <w:pPr>
      <w:spacing w:before="120" w:after="180"/>
      <w:jc w:val="both"/>
    </w:pPr>
    <w:rPr>
      <w:rFonts w:cs="Calibri"/>
    </w:rPr>
  </w:style>
  <w:style w:type="character" w:customStyle="1" w:styleId="bodytextBold">
    <w:name w:val="bodytext Bold"/>
    <w:qFormat/>
    <w:rsid w:val="00133054"/>
    <w:rPr>
      <w:rFonts w:cs="Calibri"/>
      <w:b/>
    </w:rPr>
  </w:style>
  <w:style w:type="character" w:customStyle="1" w:styleId="BodyTextIndentChar">
    <w:name w:val="Body Text Indent Char"/>
    <w:link w:val="BodyTextIndent"/>
    <w:rsid w:val="00133054"/>
    <w:rPr>
      <w:rFonts w:ascii="Times New Roman" w:hAnsi="Times New Roman"/>
    </w:rPr>
  </w:style>
  <w:style w:type="paragraph" w:styleId="BodyTextIndent">
    <w:name w:val="Body Text Indent"/>
    <w:basedOn w:val="Normal"/>
    <w:link w:val="BodyTextIndentChar"/>
    <w:rsid w:val="00133054"/>
    <w:pPr>
      <w:spacing w:after="0" w:line="240" w:lineRule="auto"/>
      <w:ind w:left="720"/>
    </w:pPr>
    <w:rPr>
      <w:rFonts w:ascii="Times New Roman" w:hAnsi="Times New Roman"/>
      <w:sz w:val="20"/>
      <w:szCs w:val="20"/>
      <w:lang w:bidi="ar-SA"/>
    </w:rPr>
  </w:style>
  <w:style w:type="character" w:customStyle="1" w:styleId="BodyTextIndentChar1">
    <w:name w:val="Body Text Indent Char1"/>
    <w:uiPriority w:val="99"/>
    <w:semiHidden/>
    <w:rsid w:val="00133054"/>
    <w:rPr>
      <w:rFonts w:ascii="Calibri" w:hAnsi="Calibri"/>
      <w:sz w:val="22"/>
      <w:szCs w:val="22"/>
      <w:lang w:bidi="en-US"/>
    </w:rPr>
  </w:style>
  <w:style w:type="character" w:customStyle="1" w:styleId="BodyTextIndent2Char">
    <w:name w:val="Body Text Indent 2 Char"/>
    <w:link w:val="BodyTextIndent2"/>
    <w:semiHidden/>
    <w:rsid w:val="00133054"/>
    <w:rPr>
      <w:rFonts w:ascii="Arial" w:hAnsi="Arial" w:cs="Arial"/>
      <w:bCs/>
    </w:rPr>
  </w:style>
  <w:style w:type="paragraph" w:styleId="BodyTextIndent2">
    <w:name w:val="Body Text Indent 2"/>
    <w:basedOn w:val="Normal"/>
    <w:link w:val="BodyTextIndent2Char"/>
    <w:semiHidden/>
    <w:rsid w:val="00133054"/>
    <w:pPr>
      <w:spacing w:after="0" w:line="240" w:lineRule="auto"/>
      <w:ind w:left="720" w:hanging="720"/>
    </w:pPr>
    <w:rPr>
      <w:rFonts w:ascii="Arial" w:hAnsi="Arial" w:cs="Arial"/>
      <w:bCs/>
      <w:sz w:val="20"/>
      <w:szCs w:val="20"/>
      <w:lang w:bidi="ar-SA"/>
    </w:rPr>
  </w:style>
  <w:style w:type="character" w:customStyle="1" w:styleId="BodyTextIndent2Char1">
    <w:name w:val="Body Text Indent 2 Char1"/>
    <w:uiPriority w:val="99"/>
    <w:semiHidden/>
    <w:rsid w:val="00133054"/>
    <w:rPr>
      <w:rFonts w:ascii="Calibri" w:hAnsi="Calibri"/>
      <w:sz w:val="22"/>
      <w:szCs w:val="22"/>
      <w:lang w:bidi="en-US"/>
    </w:rPr>
  </w:style>
  <w:style w:type="paragraph" w:customStyle="1" w:styleId="sub-sub-task">
    <w:name w:val="sub-sub-task"/>
    <w:basedOn w:val="Normal"/>
    <w:rsid w:val="00133054"/>
    <w:pPr>
      <w:tabs>
        <w:tab w:val="left" w:pos="-1440"/>
        <w:tab w:val="left" w:pos="-720"/>
        <w:tab w:val="left" w:pos="2160"/>
      </w:tabs>
      <w:suppressAutoHyphens/>
      <w:spacing w:after="120" w:line="240" w:lineRule="auto"/>
      <w:ind w:left="2160" w:hanging="720"/>
    </w:pPr>
    <w:rPr>
      <w:rFonts w:ascii="Arial" w:hAnsi="Arial" w:cs="Arial"/>
      <w:sz w:val="20"/>
      <w:szCs w:val="20"/>
      <w:lang w:bidi="ar-SA"/>
    </w:rPr>
  </w:style>
  <w:style w:type="character" w:customStyle="1" w:styleId="BodyText2Char">
    <w:name w:val="Body Text 2 Char"/>
    <w:link w:val="BodyText2"/>
    <w:rsid w:val="00133054"/>
    <w:rPr>
      <w:rFonts w:ascii="Arial" w:hAnsi="Arial" w:cs="Arial"/>
      <w:b/>
    </w:rPr>
  </w:style>
  <w:style w:type="paragraph" w:styleId="BodyText2">
    <w:name w:val="Body Text 2"/>
    <w:basedOn w:val="Normal"/>
    <w:link w:val="BodyText2Char"/>
    <w:rsid w:val="00133054"/>
    <w:pPr>
      <w:spacing w:after="0" w:line="240" w:lineRule="auto"/>
    </w:pPr>
    <w:rPr>
      <w:rFonts w:ascii="Arial" w:hAnsi="Arial" w:cs="Arial"/>
      <w:b/>
      <w:sz w:val="20"/>
      <w:szCs w:val="20"/>
      <w:lang w:bidi="ar-SA"/>
    </w:rPr>
  </w:style>
  <w:style w:type="character" w:customStyle="1" w:styleId="BodyText2Char1">
    <w:name w:val="Body Text 2 Char1"/>
    <w:uiPriority w:val="99"/>
    <w:semiHidden/>
    <w:rsid w:val="00133054"/>
    <w:rPr>
      <w:rFonts w:ascii="Calibri" w:hAnsi="Calibri"/>
      <w:sz w:val="22"/>
      <w:szCs w:val="22"/>
      <w:lang w:bidi="en-US"/>
    </w:rPr>
  </w:style>
  <w:style w:type="character" w:customStyle="1" w:styleId="text1">
    <w:name w:val="text1"/>
    <w:rsid w:val="00133054"/>
    <w:rPr>
      <w:rFonts w:ascii="Arial" w:hAnsi="Arial" w:cs="Arial" w:hint="default"/>
      <w:sz w:val="14"/>
      <w:szCs w:val="14"/>
    </w:rPr>
  </w:style>
  <w:style w:type="paragraph" w:customStyle="1" w:styleId="q">
    <w:name w:val="q"/>
    <w:basedOn w:val="Heading1"/>
    <w:qFormat/>
    <w:rsid w:val="00133054"/>
    <w:pPr>
      <w:spacing w:after="120" w:line="240" w:lineRule="auto"/>
    </w:pPr>
    <w:rPr>
      <w:color w:val="497DBB"/>
      <w:sz w:val="36"/>
    </w:rPr>
  </w:style>
  <w:style w:type="paragraph" w:customStyle="1" w:styleId="q2">
    <w:name w:val="q2"/>
    <w:basedOn w:val="q"/>
    <w:qFormat/>
    <w:rsid w:val="00133054"/>
    <w:pPr>
      <w:spacing w:before="120"/>
    </w:pPr>
    <w:rPr>
      <w:caps/>
      <w:color w:val="4F81BD"/>
      <w:sz w:val="24"/>
    </w:rPr>
  </w:style>
  <w:style w:type="paragraph" w:customStyle="1" w:styleId="PageNumber1">
    <w:name w:val="Page Number1"/>
    <w:basedOn w:val="Footer"/>
    <w:qFormat/>
    <w:rsid w:val="00133054"/>
    <w:pPr>
      <w:jc w:val="center"/>
    </w:pPr>
    <w:rPr>
      <w:rFonts w:ascii="Arial" w:hAnsi="Arial"/>
      <w:sz w:val="20"/>
    </w:rPr>
  </w:style>
  <w:style w:type="paragraph" w:customStyle="1" w:styleId="Appendices-Title">
    <w:name w:val="Appendices- Title"/>
    <w:basedOn w:val="Normal"/>
    <w:next w:val="Normal"/>
    <w:autoRedefine/>
    <w:rsid w:val="00133054"/>
    <w:pPr>
      <w:spacing w:after="0" w:line="240" w:lineRule="auto"/>
    </w:pPr>
    <w:rPr>
      <w:rFonts w:ascii="Times New (W1)" w:hAnsi="Times New (W1)"/>
      <w:sz w:val="24"/>
      <w:szCs w:val="20"/>
      <w:lang w:bidi="ar-SA"/>
    </w:rPr>
  </w:style>
  <w:style w:type="paragraph" w:customStyle="1" w:styleId="HTMLBody">
    <w:name w:val="HTML Body"/>
    <w:rsid w:val="00133054"/>
    <w:pPr>
      <w:autoSpaceDE w:val="0"/>
      <w:autoSpaceDN w:val="0"/>
      <w:adjustRightInd w:val="0"/>
    </w:pPr>
    <w:rPr>
      <w:rFonts w:ascii="Arial" w:hAnsi="Arial"/>
      <w:sz w:val="24"/>
      <w:szCs w:val="24"/>
    </w:rPr>
  </w:style>
  <w:style w:type="paragraph" w:customStyle="1" w:styleId="heading">
    <w:name w:val="heading"/>
    <w:basedOn w:val="Heading1"/>
    <w:qFormat/>
    <w:rsid w:val="00133054"/>
    <w:pPr>
      <w:tabs>
        <w:tab w:val="clear" w:pos="360"/>
      </w:tabs>
      <w:spacing w:before="480" w:after="0" w:line="240" w:lineRule="auto"/>
      <w:ind w:left="0" w:firstLine="0"/>
    </w:pPr>
    <w:rPr>
      <w:rFonts w:ascii="Times New Roman" w:hAnsi="Times New Roman"/>
      <w:color w:val="2C6EAB"/>
      <w:sz w:val="24"/>
      <w:szCs w:val="32"/>
      <w:lang w:bidi="ar-SA"/>
    </w:rPr>
  </w:style>
  <w:style w:type="character" w:customStyle="1" w:styleId="apple-converted-space">
    <w:name w:val="apple-converted-space"/>
    <w:basedOn w:val="DefaultParagraphFont"/>
    <w:rsid w:val="00133054"/>
  </w:style>
  <w:style w:type="paragraph" w:styleId="HTMLPreformatted">
    <w:name w:val="HTML Preformatted"/>
    <w:basedOn w:val="Normal"/>
    <w:link w:val="HTMLPreformattedChar"/>
    <w:uiPriority w:val="99"/>
    <w:unhideWhenUsed/>
    <w:rsid w:val="00133054"/>
    <w:pPr>
      <w:spacing w:after="0" w:line="240" w:lineRule="auto"/>
    </w:pPr>
    <w:rPr>
      <w:rFonts w:ascii="Consolas" w:hAnsi="Consolas" w:cs="Consolas"/>
      <w:sz w:val="20"/>
      <w:szCs w:val="20"/>
    </w:rPr>
  </w:style>
  <w:style w:type="character" w:customStyle="1" w:styleId="HTMLPreformattedChar">
    <w:name w:val="HTML Preformatted Char"/>
    <w:link w:val="HTMLPreformatted"/>
    <w:uiPriority w:val="99"/>
    <w:rsid w:val="00133054"/>
    <w:rPr>
      <w:rFonts w:ascii="Consolas" w:hAnsi="Consolas" w:cs="Consolas"/>
      <w:lang w:bidi="en-US"/>
    </w:rPr>
  </w:style>
  <w:style w:type="paragraph" w:styleId="BlockText">
    <w:name w:val="Block Text"/>
    <w:basedOn w:val="Normal"/>
    <w:rsid w:val="00133054"/>
    <w:pPr>
      <w:numPr>
        <w:numId w:val="2"/>
      </w:numPr>
      <w:tabs>
        <w:tab w:val="left" w:pos="1080"/>
      </w:tabs>
      <w:spacing w:after="0" w:line="240" w:lineRule="auto"/>
      <w:ind w:right="1440"/>
    </w:pPr>
    <w:rPr>
      <w:rFonts w:ascii="Times New Roman" w:hAnsi="Times New Roman"/>
      <w:sz w:val="24"/>
      <w:szCs w:val="20"/>
      <w:lang w:bidi="ar-SA"/>
    </w:rPr>
  </w:style>
  <w:style w:type="paragraph" w:styleId="Index2">
    <w:name w:val="index 2"/>
    <w:basedOn w:val="Normal"/>
    <w:next w:val="Normal"/>
    <w:autoRedefine/>
    <w:rsid w:val="00133054"/>
    <w:pPr>
      <w:numPr>
        <w:numId w:val="3"/>
      </w:numPr>
      <w:spacing w:after="0" w:line="240" w:lineRule="auto"/>
    </w:pPr>
    <w:rPr>
      <w:rFonts w:ascii="Times New Roman" w:hAnsi="Times New Roman"/>
      <w:sz w:val="24"/>
      <w:szCs w:val="20"/>
      <w:lang w:bidi="ar-SA"/>
    </w:rPr>
  </w:style>
  <w:style w:type="character" w:customStyle="1" w:styleId="st">
    <w:name w:val="st"/>
    <w:basedOn w:val="DefaultParagraphFont"/>
    <w:rsid w:val="00133054"/>
  </w:style>
  <w:style w:type="paragraph" w:customStyle="1" w:styleId="font5">
    <w:name w:val="font5"/>
    <w:basedOn w:val="Normal"/>
    <w:rsid w:val="00133054"/>
    <w:pPr>
      <w:spacing w:before="100" w:beforeAutospacing="1" w:after="100" w:afterAutospacing="1" w:line="240" w:lineRule="auto"/>
    </w:pPr>
    <w:rPr>
      <w:rFonts w:ascii="Tahoma" w:hAnsi="Tahoma" w:cs="Tahoma"/>
      <w:b/>
      <w:bCs/>
      <w:color w:val="000000"/>
      <w:sz w:val="18"/>
      <w:szCs w:val="18"/>
      <w:lang w:bidi="ar-SA"/>
    </w:rPr>
  </w:style>
  <w:style w:type="paragraph" w:customStyle="1" w:styleId="font6">
    <w:name w:val="font6"/>
    <w:basedOn w:val="Normal"/>
    <w:rsid w:val="00133054"/>
    <w:pPr>
      <w:spacing w:before="100" w:beforeAutospacing="1" w:after="100" w:afterAutospacing="1" w:line="240" w:lineRule="auto"/>
    </w:pPr>
    <w:rPr>
      <w:rFonts w:ascii="Tahoma" w:hAnsi="Tahoma" w:cs="Tahoma"/>
      <w:color w:val="000000"/>
      <w:sz w:val="18"/>
      <w:szCs w:val="18"/>
      <w:lang w:bidi="ar-SA"/>
    </w:rPr>
  </w:style>
  <w:style w:type="paragraph" w:customStyle="1" w:styleId="font7">
    <w:name w:val="font7"/>
    <w:basedOn w:val="Normal"/>
    <w:rsid w:val="00133054"/>
    <w:pPr>
      <w:spacing w:before="100" w:beforeAutospacing="1" w:after="100" w:afterAutospacing="1" w:line="240" w:lineRule="auto"/>
    </w:pPr>
    <w:rPr>
      <w:rFonts w:ascii="Tahoma" w:hAnsi="Tahoma" w:cs="Tahoma"/>
      <w:color w:val="000000"/>
      <w:sz w:val="18"/>
      <w:szCs w:val="18"/>
      <w:lang w:bidi="ar-SA"/>
    </w:rPr>
  </w:style>
  <w:style w:type="paragraph" w:customStyle="1" w:styleId="font8">
    <w:name w:val="font8"/>
    <w:basedOn w:val="Normal"/>
    <w:rsid w:val="00133054"/>
    <w:pPr>
      <w:spacing w:before="100" w:beforeAutospacing="1" w:after="100" w:afterAutospacing="1" w:line="240" w:lineRule="auto"/>
    </w:pPr>
    <w:rPr>
      <w:rFonts w:ascii="Tahoma" w:hAnsi="Tahoma" w:cs="Tahoma"/>
      <w:b/>
      <w:bCs/>
      <w:color w:val="000000"/>
      <w:sz w:val="18"/>
      <w:szCs w:val="18"/>
      <w:lang w:bidi="ar-SA"/>
    </w:rPr>
  </w:style>
  <w:style w:type="paragraph" w:customStyle="1" w:styleId="font9">
    <w:name w:val="font9"/>
    <w:basedOn w:val="Normal"/>
    <w:rsid w:val="00133054"/>
    <w:pPr>
      <w:spacing w:before="100" w:beforeAutospacing="1" w:after="100" w:afterAutospacing="1" w:line="240" w:lineRule="auto"/>
    </w:pPr>
    <w:rPr>
      <w:rFonts w:cs="Calibri"/>
      <w:color w:val="000000"/>
      <w:sz w:val="18"/>
      <w:szCs w:val="18"/>
      <w:lang w:bidi="ar-SA"/>
    </w:rPr>
  </w:style>
  <w:style w:type="paragraph" w:customStyle="1" w:styleId="xl65">
    <w:name w:val="xl65"/>
    <w:basedOn w:val="Normal"/>
    <w:rsid w:val="00133054"/>
    <w:pPr>
      <w:spacing w:before="100" w:beforeAutospacing="1" w:after="100" w:afterAutospacing="1" w:line="240" w:lineRule="auto"/>
      <w:jc w:val="center"/>
    </w:pPr>
    <w:rPr>
      <w:rFonts w:ascii="Times New Roman" w:hAnsi="Times New Roman"/>
      <w:sz w:val="18"/>
      <w:szCs w:val="18"/>
      <w:lang w:bidi="ar-SA"/>
    </w:rPr>
  </w:style>
  <w:style w:type="paragraph" w:customStyle="1" w:styleId="xl66">
    <w:name w:val="xl66"/>
    <w:basedOn w:val="Normal"/>
    <w:rsid w:val="00133054"/>
    <w:pPr>
      <w:pBdr>
        <w:bottom w:val="single" w:sz="4" w:space="0" w:color="auto"/>
      </w:pBdr>
      <w:spacing w:before="100" w:beforeAutospacing="1" w:after="100" w:afterAutospacing="1" w:line="240" w:lineRule="auto"/>
      <w:jc w:val="center"/>
    </w:pPr>
    <w:rPr>
      <w:rFonts w:ascii="Times New Roman" w:hAnsi="Times New Roman"/>
      <w:sz w:val="18"/>
      <w:szCs w:val="18"/>
      <w:lang w:bidi="ar-SA"/>
    </w:rPr>
  </w:style>
  <w:style w:type="paragraph" w:customStyle="1" w:styleId="xl67">
    <w:name w:val="xl67"/>
    <w:basedOn w:val="Normal"/>
    <w:rsid w:val="00133054"/>
    <w:pPr>
      <w:spacing w:before="100" w:beforeAutospacing="1" w:after="100" w:afterAutospacing="1" w:line="240" w:lineRule="auto"/>
      <w:jc w:val="center"/>
    </w:pPr>
    <w:rPr>
      <w:rFonts w:ascii="Times New Roman" w:hAnsi="Times New Roman"/>
      <w:sz w:val="18"/>
      <w:szCs w:val="18"/>
      <w:lang w:bidi="ar-SA"/>
    </w:rPr>
  </w:style>
  <w:style w:type="paragraph" w:customStyle="1" w:styleId="xl68">
    <w:name w:val="xl68"/>
    <w:basedOn w:val="Normal"/>
    <w:rsid w:val="00133054"/>
    <w:pPr>
      <w:spacing w:before="100" w:beforeAutospacing="1" w:after="100" w:afterAutospacing="1" w:line="240" w:lineRule="auto"/>
      <w:jc w:val="center"/>
    </w:pPr>
    <w:rPr>
      <w:rFonts w:ascii="Times New Roman" w:hAnsi="Times New Roman"/>
      <w:sz w:val="18"/>
      <w:szCs w:val="18"/>
      <w:lang w:bidi="ar-SA"/>
    </w:rPr>
  </w:style>
  <w:style w:type="paragraph" w:customStyle="1" w:styleId="xl69">
    <w:name w:val="xl69"/>
    <w:basedOn w:val="Normal"/>
    <w:rsid w:val="00133054"/>
    <w:pPr>
      <w:spacing w:before="100" w:beforeAutospacing="1" w:after="100" w:afterAutospacing="1" w:line="240" w:lineRule="auto"/>
      <w:jc w:val="center"/>
      <w:textAlignment w:val="center"/>
    </w:pPr>
    <w:rPr>
      <w:rFonts w:ascii="Times New Roman" w:hAnsi="Times New Roman"/>
      <w:sz w:val="24"/>
      <w:szCs w:val="24"/>
      <w:lang w:bidi="ar-SA"/>
    </w:rPr>
  </w:style>
  <w:style w:type="paragraph" w:customStyle="1" w:styleId="xl70">
    <w:name w:val="xl70"/>
    <w:basedOn w:val="Normal"/>
    <w:rsid w:val="00133054"/>
    <w:pPr>
      <w:spacing w:before="100" w:beforeAutospacing="1" w:after="100" w:afterAutospacing="1" w:line="240" w:lineRule="auto"/>
      <w:jc w:val="center"/>
      <w:textAlignment w:val="center"/>
    </w:pPr>
    <w:rPr>
      <w:rFonts w:ascii="Times New Roman" w:hAnsi="Times New Roman"/>
      <w:sz w:val="24"/>
      <w:szCs w:val="24"/>
      <w:lang w:bidi="ar-SA"/>
    </w:rPr>
  </w:style>
  <w:style w:type="paragraph" w:customStyle="1" w:styleId="LiteratureCited">
    <w:name w:val="Literature Cited"/>
    <w:basedOn w:val="Normal"/>
    <w:link w:val="LiteratureCitedChar"/>
    <w:qFormat/>
    <w:rsid w:val="00133054"/>
    <w:pPr>
      <w:spacing w:after="120" w:line="240" w:lineRule="auto"/>
      <w:ind w:left="360" w:hanging="360"/>
      <w:jc w:val="both"/>
    </w:pPr>
    <w:rPr>
      <w:rFonts w:cs="Calibri"/>
    </w:rPr>
  </w:style>
  <w:style w:type="character" w:customStyle="1" w:styleId="LiteratureCitedChar">
    <w:name w:val="Literature Cited Char"/>
    <w:link w:val="LiteratureCited"/>
    <w:rsid w:val="00133054"/>
    <w:rPr>
      <w:rFonts w:ascii="Calibri" w:hAnsi="Calibri" w:cs="Calibri"/>
      <w:sz w:val="22"/>
      <w:szCs w:val="22"/>
      <w:lang w:bidi="en-US"/>
    </w:rPr>
  </w:style>
  <w:style w:type="paragraph" w:customStyle="1" w:styleId="tblcalibr11nobold">
    <w:name w:val="tbl calibr 11 no bold"/>
    <w:basedOn w:val="TOT"/>
    <w:qFormat/>
    <w:rsid w:val="00133054"/>
    <w:pPr>
      <w:tabs>
        <w:tab w:val="right" w:leader="dot" w:pos="9810"/>
      </w:tabs>
      <w:spacing w:line="240" w:lineRule="exact"/>
      <w:ind w:right="187"/>
    </w:pPr>
    <w:rPr>
      <w:rFonts w:ascii="Calibri" w:hAnsi="Calibri"/>
      <w:b w:val="0"/>
      <w:noProof/>
      <w:sz w:val="22"/>
    </w:rPr>
  </w:style>
  <w:style w:type="paragraph" w:customStyle="1" w:styleId="figsarialNOBOLD">
    <w:name w:val="figs arial NO BOLD"/>
    <w:basedOn w:val="TOF"/>
    <w:qFormat/>
    <w:rsid w:val="00133054"/>
    <w:pPr>
      <w:tabs>
        <w:tab w:val="left" w:pos="450"/>
        <w:tab w:val="right" w:leader="dot" w:pos="9810"/>
      </w:tabs>
      <w:ind w:right="187"/>
    </w:pPr>
    <w:rPr>
      <w:i w:val="0"/>
    </w:rPr>
  </w:style>
  <w:style w:type="paragraph" w:customStyle="1" w:styleId="tablecentered">
    <w:name w:val="table centered"/>
    <w:basedOn w:val="NoSpacing"/>
    <w:qFormat/>
    <w:rsid w:val="00133054"/>
  </w:style>
  <w:style w:type="paragraph" w:customStyle="1" w:styleId="tablestylecalibri">
    <w:name w:val="table style calibri"/>
    <w:qFormat/>
    <w:rsid w:val="00133054"/>
    <w:pPr>
      <w:ind w:right="16"/>
      <w:jc w:val="center"/>
    </w:pPr>
    <w:rPr>
      <w:rFonts w:ascii="Calibri" w:hAnsi="Calibri" w:cs="Calibri"/>
      <w:lang w:bidi="en-US"/>
    </w:rPr>
  </w:style>
  <w:style w:type="character" w:customStyle="1" w:styleId="BodyTextFirstIndentChar">
    <w:name w:val="Body Text First Indent Char"/>
    <w:link w:val="BodyTextFirstIndent"/>
    <w:uiPriority w:val="99"/>
    <w:semiHidden/>
    <w:rsid w:val="00133054"/>
    <w:rPr>
      <w:rFonts w:ascii="Calibri" w:hAnsi="Calibri"/>
      <w:sz w:val="22"/>
      <w:szCs w:val="22"/>
      <w:lang w:bidi="en-US"/>
    </w:rPr>
  </w:style>
  <w:style w:type="paragraph" w:styleId="BodyTextFirstIndent">
    <w:name w:val="Body Text First Indent"/>
    <w:basedOn w:val="BodyText0"/>
    <w:link w:val="BodyTextFirstIndentChar"/>
    <w:uiPriority w:val="99"/>
    <w:semiHidden/>
    <w:unhideWhenUsed/>
    <w:rsid w:val="00133054"/>
    <w:pPr>
      <w:spacing w:after="200"/>
      <w:ind w:firstLine="360"/>
    </w:pPr>
  </w:style>
  <w:style w:type="paragraph" w:styleId="BodyTextFirstIndent2">
    <w:name w:val="Body Text First Indent 2"/>
    <w:basedOn w:val="BodyTextIndent"/>
    <w:link w:val="BodyTextFirstIndent2Char"/>
    <w:uiPriority w:val="99"/>
    <w:semiHidden/>
    <w:unhideWhenUsed/>
    <w:rsid w:val="00133054"/>
    <w:pPr>
      <w:spacing w:after="200" w:line="276" w:lineRule="auto"/>
      <w:ind w:left="360" w:firstLine="360"/>
    </w:pPr>
    <w:rPr>
      <w:rFonts w:ascii="Calibri" w:hAnsi="Calibri"/>
      <w:sz w:val="22"/>
      <w:lang w:bidi="en-US"/>
    </w:rPr>
  </w:style>
  <w:style w:type="character" w:customStyle="1" w:styleId="BodyTextFirstIndent2Char">
    <w:name w:val="Body Text First Indent 2 Char"/>
    <w:link w:val="BodyTextFirstIndent2"/>
    <w:uiPriority w:val="99"/>
    <w:semiHidden/>
    <w:rsid w:val="00133054"/>
    <w:rPr>
      <w:rFonts w:ascii="Calibri" w:hAnsi="Calibri"/>
      <w:sz w:val="22"/>
      <w:szCs w:val="22"/>
      <w:lang w:bidi="en-US"/>
    </w:rPr>
  </w:style>
  <w:style w:type="paragraph" w:styleId="BodyTextIndent3">
    <w:name w:val="Body Text Indent 3"/>
    <w:basedOn w:val="Normal"/>
    <w:link w:val="BodyTextIndent3Char"/>
    <w:uiPriority w:val="99"/>
    <w:unhideWhenUsed/>
    <w:rsid w:val="00133054"/>
    <w:pPr>
      <w:spacing w:after="120"/>
      <w:ind w:left="360"/>
    </w:pPr>
    <w:rPr>
      <w:sz w:val="16"/>
      <w:szCs w:val="16"/>
    </w:rPr>
  </w:style>
  <w:style w:type="character" w:customStyle="1" w:styleId="BodyTextIndent3Char">
    <w:name w:val="Body Text Indent 3 Char"/>
    <w:link w:val="BodyTextIndent3"/>
    <w:uiPriority w:val="99"/>
    <w:rsid w:val="00133054"/>
    <w:rPr>
      <w:rFonts w:ascii="Calibri" w:hAnsi="Calibri"/>
      <w:sz w:val="16"/>
      <w:szCs w:val="16"/>
      <w:lang w:bidi="en-US"/>
    </w:rPr>
  </w:style>
  <w:style w:type="character" w:customStyle="1" w:styleId="ClosingChar">
    <w:name w:val="Closing Char"/>
    <w:link w:val="Closing"/>
    <w:uiPriority w:val="99"/>
    <w:semiHidden/>
    <w:rsid w:val="00133054"/>
    <w:rPr>
      <w:rFonts w:ascii="Calibri" w:hAnsi="Calibri"/>
      <w:sz w:val="22"/>
      <w:szCs w:val="22"/>
      <w:lang w:bidi="en-US"/>
    </w:rPr>
  </w:style>
  <w:style w:type="paragraph" w:styleId="Closing">
    <w:name w:val="Closing"/>
    <w:basedOn w:val="Normal"/>
    <w:link w:val="ClosingChar"/>
    <w:uiPriority w:val="99"/>
    <w:semiHidden/>
    <w:unhideWhenUsed/>
    <w:rsid w:val="00133054"/>
    <w:pPr>
      <w:spacing w:after="0" w:line="240" w:lineRule="auto"/>
      <w:ind w:left="4320"/>
    </w:pPr>
  </w:style>
  <w:style w:type="character" w:customStyle="1" w:styleId="DateChar">
    <w:name w:val="Date Char"/>
    <w:link w:val="Date"/>
    <w:uiPriority w:val="99"/>
    <w:semiHidden/>
    <w:rsid w:val="00133054"/>
    <w:rPr>
      <w:rFonts w:ascii="Calibri" w:hAnsi="Calibri"/>
      <w:sz w:val="22"/>
      <w:szCs w:val="22"/>
      <w:lang w:bidi="en-US"/>
    </w:rPr>
  </w:style>
  <w:style w:type="paragraph" w:styleId="Date">
    <w:name w:val="Date"/>
    <w:basedOn w:val="Normal"/>
    <w:next w:val="Normal"/>
    <w:link w:val="DateChar"/>
    <w:uiPriority w:val="99"/>
    <w:semiHidden/>
    <w:unhideWhenUsed/>
    <w:rsid w:val="00133054"/>
  </w:style>
  <w:style w:type="character" w:customStyle="1" w:styleId="DocumentMapChar">
    <w:name w:val="Document Map Char"/>
    <w:link w:val="DocumentMap"/>
    <w:uiPriority w:val="99"/>
    <w:semiHidden/>
    <w:rsid w:val="00133054"/>
    <w:rPr>
      <w:rFonts w:ascii="Tahoma" w:hAnsi="Tahoma" w:cs="Tahoma"/>
      <w:sz w:val="16"/>
      <w:szCs w:val="16"/>
      <w:lang w:bidi="en-US"/>
    </w:rPr>
  </w:style>
  <w:style w:type="paragraph" w:styleId="DocumentMap">
    <w:name w:val="Document Map"/>
    <w:basedOn w:val="Normal"/>
    <w:link w:val="DocumentMapChar"/>
    <w:uiPriority w:val="99"/>
    <w:semiHidden/>
    <w:unhideWhenUsed/>
    <w:rsid w:val="00133054"/>
    <w:pPr>
      <w:spacing w:after="0" w:line="240" w:lineRule="auto"/>
    </w:pPr>
    <w:rPr>
      <w:rFonts w:ascii="Tahoma" w:hAnsi="Tahoma" w:cs="Tahoma"/>
      <w:sz w:val="16"/>
      <w:szCs w:val="16"/>
    </w:rPr>
  </w:style>
  <w:style w:type="character" w:customStyle="1" w:styleId="E-mailSignatureChar">
    <w:name w:val="E-mail Signature Char"/>
    <w:link w:val="E-mailSignature"/>
    <w:uiPriority w:val="99"/>
    <w:semiHidden/>
    <w:rsid w:val="00133054"/>
    <w:rPr>
      <w:rFonts w:ascii="Calibri" w:hAnsi="Calibri"/>
      <w:sz w:val="22"/>
      <w:szCs w:val="22"/>
      <w:lang w:bidi="en-US"/>
    </w:rPr>
  </w:style>
  <w:style w:type="paragraph" w:styleId="E-mailSignature">
    <w:name w:val="E-mail Signature"/>
    <w:basedOn w:val="Normal"/>
    <w:link w:val="E-mailSignatureChar"/>
    <w:uiPriority w:val="99"/>
    <w:semiHidden/>
    <w:unhideWhenUsed/>
    <w:rsid w:val="00133054"/>
    <w:pPr>
      <w:spacing w:after="0" w:line="240" w:lineRule="auto"/>
    </w:pPr>
  </w:style>
  <w:style w:type="character" w:customStyle="1" w:styleId="HTMLAddressChar">
    <w:name w:val="HTML Address Char"/>
    <w:link w:val="HTMLAddress"/>
    <w:uiPriority w:val="99"/>
    <w:semiHidden/>
    <w:rsid w:val="00133054"/>
    <w:rPr>
      <w:rFonts w:ascii="Calibri" w:hAnsi="Calibri"/>
      <w:i/>
      <w:iCs/>
      <w:sz w:val="22"/>
      <w:szCs w:val="22"/>
      <w:lang w:bidi="en-US"/>
    </w:rPr>
  </w:style>
  <w:style w:type="paragraph" w:styleId="HTMLAddress">
    <w:name w:val="HTML Address"/>
    <w:basedOn w:val="Normal"/>
    <w:link w:val="HTMLAddressChar"/>
    <w:uiPriority w:val="99"/>
    <w:semiHidden/>
    <w:unhideWhenUsed/>
    <w:rsid w:val="00133054"/>
    <w:pPr>
      <w:spacing w:after="0" w:line="240" w:lineRule="auto"/>
    </w:pPr>
    <w:rPr>
      <w:i/>
      <w:iCs/>
    </w:rPr>
  </w:style>
  <w:style w:type="paragraph" w:styleId="Index3">
    <w:name w:val="index 3"/>
    <w:basedOn w:val="Normal"/>
    <w:next w:val="Normal"/>
    <w:autoRedefine/>
    <w:uiPriority w:val="99"/>
    <w:unhideWhenUsed/>
    <w:rsid w:val="00133054"/>
    <w:pPr>
      <w:spacing w:after="0" w:line="240" w:lineRule="auto"/>
      <w:ind w:left="660" w:hanging="220"/>
    </w:pPr>
  </w:style>
  <w:style w:type="paragraph" w:styleId="Index4">
    <w:name w:val="index 4"/>
    <w:basedOn w:val="Normal"/>
    <w:next w:val="Normal"/>
    <w:autoRedefine/>
    <w:uiPriority w:val="99"/>
    <w:unhideWhenUsed/>
    <w:rsid w:val="00133054"/>
    <w:pPr>
      <w:spacing w:after="0" w:line="240" w:lineRule="auto"/>
      <w:ind w:left="880" w:hanging="220"/>
    </w:pPr>
  </w:style>
  <w:style w:type="paragraph" w:styleId="Index5">
    <w:name w:val="index 5"/>
    <w:basedOn w:val="Normal"/>
    <w:next w:val="Normal"/>
    <w:autoRedefine/>
    <w:uiPriority w:val="99"/>
    <w:unhideWhenUsed/>
    <w:rsid w:val="00133054"/>
    <w:pPr>
      <w:spacing w:after="0" w:line="240" w:lineRule="auto"/>
      <w:ind w:left="1100" w:hanging="220"/>
    </w:pPr>
  </w:style>
  <w:style w:type="paragraph" w:styleId="Index6">
    <w:name w:val="index 6"/>
    <w:basedOn w:val="Normal"/>
    <w:next w:val="Normal"/>
    <w:autoRedefine/>
    <w:uiPriority w:val="99"/>
    <w:unhideWhenUsed/>
    <w:rsid w:val="00133054"/>
    <w:pPr>
      <w:spacing w:after="0" w:line="240" w:lineRule="auto"/>
      <w:ind w:left="1320" w:hanging="220"/>
    </w:pPr>
  </w:style>
  <w:style w:type="paragraph" w:styleId="ListBullet">
    <w:name w:val="List Bullet"/>
    <w:basedOn w:val="Normal"/>
    <w:uiPriority w:val="99"/>
    <w:semiHidden/>
    <w:unhideWhenUsed/>
    <w:rsid w:val="00133054"/>
    <w:pPr>
      <w:numPr>
        <w:numId w:val="4"/>
      </w:numPr>
      <w:contextualSpacing/>
    </w:pPr>
  </w:style>
  <w:style w:type="paragraph" w:styleId="ListBullet2">
    <w:name w:val="List Bullet 2"/>
    <w:basedOn w:val="Normal"/>
    <w:uiPriority w:val="99"/>
    <w:semiHidden/>
    <w:unhideWhenUsed/>
    <w:rsid w:val="00133054"/>
    <w:pPr>
      <w:numPr>
        <w:numId w:val="5"/>
      </w:numPr>
      <w:contextualSpacing/>
    </w:pPr>
  </w:style>
  <w:style w:type="paragraph" w:styleId="ListBullet3">
    <w:name w:val="List Bullet 3"/>
    <w:basedOn w:val="Normal"/>
    <w:uiPriority w:val="99"/>
    <w:semiHidden/>
    <w:unhideWhenUsed/>
    <w:rsid w:val="00133054"/>
    <w:pPr>
      <w:numPr>
        <w:numId w:val="6"/>
      </w:numPr>
      <w:contextualSpacing/>
    </w:pPr>
  </w:style>
  <w:style w:type="paragraph" w:styleId="ListBullet4">
    <w:name w:val="List Bullet 4"/>
    <w:basedOn w:val="Normal"/>
    <w:uiPriority w:val="99"/>
    <w:semiHidden/>
    <w:unhideWhenUsed/>
    <w:rsid w:val="00133054"/>
    <w:pPr>
      <w:numPr>
        <w:numId w:val="7"/>
      </w:numPr>
      <w:contextualSpacing/>
    </w:pPr>
  </w:style>
  <w:style w:type="paragraph" w:styleId="ListBullet5">
    <w:name w:val="List Bullet 5"/>
    <w:basedOn w:val="Normal"/>
    <w:uiPriority w:val="99"/>
    <w:semiHidden/>
    <w:unhideWhenUsed/>
    <w:rsid w:val="00133054"/>
    <w:pPr>
      <w:numPr>
        <w:numId w:val="8"/>
      </w:numPr>
      <w:contextualSpacing/>
    </w:pPr>
  </w:style>
  <w:style w:type="paragraph" w:styleId="ListNumber">
    <w:name w:val="List Number"/>
    <w:basedOn w:val="Normal"/>
    <w:uiPriority w:val="99"/>
    <w:semiHidden/>
    <w:unhideWhenUsed/>
    <w:rsid w:val="00133054"/>
    <w:pPr>
      <w:numPr>
        <w:numId w:val="9"/>
      </w:numPr>
      <w:contextualSpacing/>
    </w:pPr>
  </w:style>
  <w:style w:type="paragraph" w:styleId="ListNumber2">
    <w:name w:val="List Number 2"/>
    <w:basedOn w:val="Normal"/>
    <w:uiPriority w:val="99"/>
    <w:unhideWhenUsed/>
    <w:rsid w:val="00133054"/>
    <w:pPr>
      <w:numPr>
        <w:numId w:val="10"/>
      </w:numPr>
      <w:contextualSpacing/>
    </w:pPr>
  </w:style>
  <w:style w:type="paragraph" w:styleId="ListNumber3">
    <w:name w:val="List Number 3"/>
    <w:basedOn w:val="Normal"/>
    <w:uiPriority w:val="99"/>
    <w:semiHidden/>
    <w:unhideWhenUsed/>
    <w:rsid w:val="00133054"/>
    <w:pPr>
      <w:numPr>
        <w:numId w:val="11"/>
      </w:numPr>
      <w:contextualSpacing/>
    </w:pPr>
  </w:style>
  <w:style w:type="paragraph" w:styleId="ListNumber4">
    <w:name w:val="List Number 4"/>
    <w:basedOn w:val="Normal"/>
    <w:uiPriority w:val="99"/>
    <w:semiHidden/>
    <w:unhideWhenUsed/>
    <w:rsid w:val="00133054"/>
    <w:pPr>
      <w:numPr>
        <w:numId w:val="12"/>
      </w:numPr>
      <w:contextualSpacing/>
    </w:pPr>
  </w:style>
  <w:style w:type="paragraph" w:styleId="ListNumber5">
    <w:name w:val="List Number 5"/>
    <w:basedOn w:val="Normal"/>
    <w:uiPriority w:val="99"/>
    <w:unhideWhenUsed/>
    <w:rsid w:val="00133054"/>
    <w:pPr>
      <w:numPr>
        <w:numId w:val="13"/>
      </w:numPr>
      <w:contextualSpacing/>
    </w:pPr>
  </w:style>
  <w:style w:type="character" w:customStyle="1" w:styleId="MacroTextChar">
    <w:name w:val="Macro Text Char"/>
    <w:link w:val="MacroText"/>
    <w:uiPriority w:val="99"/>
    <w:semiHidden/>
    <w:rsid w:val="00133054"/>
    <w:rPr>
      <w:rFonts w:ascii="Consolas" w:hAnsi="Consolas"/>
      <w:lang w:bidi="en-US"/>
    </w:rPr>
  </w:style>
  <w:style w:type="paragraph" w:styleId="MacroText">
    <w:name w:val="macro"/>
    <w:link w:val="MacroTextChar"/>
    <w:uiPriority w:val="99"/>
    <w:semiHidden/>
    <w:unhideWhenUsed/>
    <w:rsid w:val="00133054"/>
    <w:pPr>
      <w:tabs>
        <w:tab w:val="left" w:pos="480"/>
        <w:tab w:val="left" w:pos="960"/>
        <w:tab w:val="left" w:pos="1440"/>
        <w:tab w:val="left" w:pos="1920"/>
        <w:tab w:val="left" w:pos="2400"/>
        <w:tab w:val="left" w:pos="2880"/>
        <w:tab w:val="left" w:pos="3360"/>
        <w:tab w:val="left" w:pos="3840"/>
        <w:tab w:val="left" w:pos="4320"/>
      </w:tabs>
      <w:spacing w:line="276" w:lineRule="auto"/>
    </w:pPr>
    <w:rPr>
      <w:rFonts w:ascii="Consolas" w:hAnsi="Consolas"/>
      <w:lang w:bidi="en-US"/>
    </w:rPr>
  </w:style>
  <w:style w:type="character" w:customStyle="1" w:styleId="MessageHeaderChar">
    <w:name w:val="Message Header Char"/>
    <w:link w:val="MessageHeader"/>
    <w:uiPriority w:val="99"/>
    <w:semiHidden/>
    <w:rsid w:val="00133054"/>
    <w:rPr>
      <w:rFonts w:ascii="Calibri Light" w:eastAsia="Times New Roman" w:hAnsi="Calibri Light" w:cs="Times New Roman"/>
      <w:sz w:val="24"/>
      <w:szCs w:val="24"/>
      <w:shd w:val="pct20" w:color="auto" w:fill="auto"/>
      <w:lang w:bidi="en-US"/>
    </w:rPr>
  </w:style>
  <w:style w:type="paragraph" w:styleId="MessageHeader">
    <w:name w:val="Message Header"/>
    <w:basedOn w:val="Normal"/>
    <w:link w:val="MessageHeaderChar"/>
    <w:uiPriority w:val="99"/>
    <w:semiHidden/>
    <w:unhideWhenUsed/>
    <w:rsid w:val="00133054"/>
    <w:pPr>
      <w:pBdr>
        <w:top w:val="single" w:sz="6" w:space="1" w:color="auto"/>
        <w:left w:val="single" w:sz="6" w:space="1" w:color="auto"/>
        <w:bottom w:val="single" w:sz="6" w:space="1" w:color="auto"/>
        <w:right w:val="single" w:sz="6" w:space="1" w:color="auto"/>
      </w:pBdr>
      <w:shd w:val="pct20" w:color="auto" w:fill="auto"/>
      <w:spacing w:after="0" w:line="240" w:lineRule="auto"/>
      <w:ind w:left="1080" w:hanging="1080"/>
    </w:pPr>
    <w:rPr>
      <w:rFonts w:ascii="Calibri Light" w:hAnsi="Calibri Light"/>
      <w:sz w:val="24"/>
      <w:szCs w:val="24"/>
    </w:rPr>
  </w:style>
  <w:style w:type="character" w:customStyle="1" w:styleId="NoteHeadingChar">
    <w:name w:val="Note Heading Char"/>
    <w:link w:val="NoteHeading"/>
    <w:uiPriority w:val="99"/>
    <w:semiHidden/>
    <w:rsid w:val="00133054"/>
    <w:rPr>
      <w:rFonts w:ascii="Calibri" w:hAnsi="Calibri"/>
      <w:sz w:val="22"/>
      <w:szCs w:val="22"/>
      <w:lang w:bidi="en-US"/>
    </w:rPr>
  </w:style>
  <w:style w:type="paragraph" w:styleId="NoteHeading">
    <w:name w:val="Note Heading"/>
    <w:basedOn w:val="Normal"/>
    <w:next w:val="Normal"/>
    <w:link w:val="NoteHeadingChar"/>
    <w:uiPriority w:val="99"/>
    <w:semiHidden/>
    <w:unhideWhenUsed/>
    <w:rsid w:val="00133054"/>
    <w:pPr>
      <w:spacing w:after="0" w:line="240" w:lineRule="auto"/>
    </w:pPr>
  </w:style>
  <w:style w:type="character" w:customStyle="1" w:styleId="SalutationChar">
    <w:name w:val="Salutation Char"/>
    <w:link w:val="Salutation"/>
    <w:uiPriority w:val="99"/>
    <w:semiHidden/>
    <w:rsid w:val="00133054"/>
    <w:rPr>
      <w:rFonts w:ascii="Calibri" w:hAnsi="Calibri"/>
      <w:sz w:val="22"/>
      <w:szCs w:val="22"/>
      <w:lang w:bidi="en-US"/>
    </w:rPr>
  </w:style>
  <w:style w:type="paragraph" w:styleId="Salutation">
    <w:name w:val="Salutation"/>
    <w:basedOn w:val="Normal"/>
    <w:next w:val="Normal"/>
    <w:link w:val="SalutationChar"/>
    <w:uiPriority w:val="99"/>
    <w:semiHidden/>
    <w:unhideWhenUsed/>
    <w:rsid w:val="00133054"/>
  </w:style>
  <w:style w:type="character" w:customStyle="1" w:styleId="SignatureChar">
    <w:name w:val="Signature Char"/>
    <w:link w:val="Signature"/>
    <w:uiPriority w:val="99"/>
    <w:semiHidden/>
    <w:rsid w:val="00133054"/>
    <w:rPr>
      <w:rFonts w:ascii="Calibri" w:hAnsi="Calibri"/>
      <w:sz w:val="22"/>
      <w:szCs w:val="22"/>
      <w:lang w:bidi="en-US"/>
    </w:rPr>
  </w:style>
  <w:style w:type="paragraph" w:styleId="Signature">
    <w:name w:val="Signature"/>
    <w:basedOn w:val="Normal"/>
    <w:link w:val="SignatureChar"/>
    <w:uiPriority w:val="99"/>
    <w:semiHidden/>
    <w:unhideWhenUsed/>
    <w:rsid w:val="00133054"/>
    <w:pPr>
      <w:spacing w:after="0" w:line="240" w:lineRule="auto"/>
      <w:ind w:left="4320"/>
    </w:pPr>
  </w:style>
  <w:style w:type="paragraph" w:styleId="TOAHeading">
    <w:name w:val="toa heading"/>
    <w:basedOn w:val="Normal"/>
    <w:next w:val="Normal"/>
    <w:uiPriority w:val="99"/>
    <w:semiHidden/>
    <w:unhideWhenUsed/>
    <w:rsid w:val="00133054"/>
    <w:pPr>
      <w:spacing w:before="120"/>
    </w:pPr>
    <w:rPr>
      <w:rFonts w:ascii="Calibri Light" w:hAnsi="Calibri Light"/>
      <w:b/>
      <w:bCs/>
      <w:sz w:val="24"/>
      <w:szCs w:val="24"/>
    </w:rPr>
  </w:style>
  <w:style w:type="character" w:styleId="EndnoteReference">
    <w:name w:val="endnote reference"/>
    <w:uiPriority w:val="99"/>
    <w:semiHidden/>
    <w:unhideWhenUsed/>
    <w:rsid w:val="00133054"/>
    <w:rPr>
      <w:vertAlign w:val="superscript"/>
    </w:rPr>
  </w:style>
  <w:style w:type="paragraph" w:customStyle="1" w:styleId="tblcalibr12nobold">
    <w:name w:val="tbl calibr 12 no bold"/>
    <w:basedOn w:val="TOT"/>
    <w:qFormat/>
    <w:rsid w:val="00133054"/>
    <w:pPr>
      <w:tabs>
        <w:tab w:val="left" w:leader="dot" w:pos="450"/>
        <w:tab w:val="right" w:leader="dot" w:pos="9810"/>
        <w:tab w:val="right" w:pos="10080"/>
      </w:tabs>
      <w:spacing w:line="240" w:lineRule="exact"/>
      <w:ind w:right="187"/>
    </w:pPr>
    <w:rPr>
      <w:rFonts w:ascii="Calibri" w:hAnsi="Calibri"/>
      <w:b w:val="0"/>
      <w:noProof/>
      <w:sz w:val="24"/>
    </w:rPr>
  </w:style>
  <w:style w:type="character" w:customStyle="1" w:styleId="Level1">
    <w:name w:val="Level 1"/>
    <w:basedOn w:val="DefaultParagraphFont"/>
    <w:rsid w:val="00133054"/>
  </w:style>
  <w:style w:type="paragraph" w:customStyle="1" w:styleId="AppendixTitle">
    <w:name w:val="Appendix Title"/>
    <w:basedOn w:val="Normal"/>
    <w:next w:val="BodyText0"/>
    <w:rsid w:val="00133054"/>
    <w:pPr>
      <w:spacing w:before="25" w:after="0" w:line="240" w:lineRule="auto"/>
      <w:ind w:right="-20"/>
    </w:pPr>
    <w:rPr>
      <w:rFonts w:ascii="Arial" w:eastAsia="Arial" w:hAnsi="Arial" w:cs="Arial"/>
      <w:b/>
      <w:bCs/>
      <w:w w:val="91"/>
      <w:sz w:val="48"/>
      <w:szCs w:val="48"/>
      <w:lang w:bidi="ar-SA"/>
    </w:rPr>
  </w:style>
  <w:style w:type="paragraph" w:customStyle="1" w:styleId="Body">
    <w:name w:val="Body"/>
    <w:basedOn w:val="Normal"/>
    <w:rsid w:val="00133054"/>
    <w:pPr>
      <w:widowControl w:val="0"/>
      <w:spacing w:after="120" w:line="240" w:lineRule="auto"/>
    </w:pPr>
    <w:rPr>
      <w:rFonts w:ascii="CG Times" w:hAnsi="CG Times"/>
      <w:szCs w:val="20"/>
      <w:lang w:bidi="ar-SA"/>
    </w:rPr>
  </w:style>
  <w:style w:type="paragraph" w:customStyle="1" w:styleId="Listof">
    <w:name w:val="List of"/>
    <w:basedOn w:val="BodyText0"/>
    <w:rsid w:val="00133054"/>
    <w:pPr>
      <w:spacing w:line="240" w:lineRule="auto"/>
    </w:pPr>
    <w:rPr>
      <w:rFonts w:ascii="Arial Narrow" w:hAnsi="Arial Narrow"/>
      <w:b/>
      <w:sz w:val="36"/>
      <w:szCs w:val="24"/>
      <w:lang w:bidi="ar-SA"/>
    </w:rPr>
  </w:style>
  <w:style w:type="paragraph" w:customStyle="1" w:styleId="MainText">
    <w:name w:val="Main Text"/>
    <w:basedOn w:val="Normal"/>
    <w:rsid w:val="00133054"/>
    <w:pPr>
      <w:spacing w:after="0" w:line="240" w:lineRule="auto"/>
    </w:pPr>
    <w:rPr>
      <w:rFonts w:ascii="Arial" w:hAnsi="Arial"/>
      <w:szCs w:val="20"/>
      <w:lang w:bidi="ar-SA"/>
    </w:rPr>
  </w:style>
  <w:style w:type="paragraph" w:customStyle="1" w:styleId="par1">
    <w:name w:val="par1"/>
    <w:basedOn w:val="Default"/>
    <w:next w:val="Default"/>
    <w:rsid w:val="00133054"/>
    <w:pPr>
      <w:spacing w:before="240"/>
    </w:pPr>
    <w:rPr>
      <w:rFonts w:ascii="Arial" w:eastAsia="Times New Roman" w:hAnsi="Arial" w:cs="Times New Roman"/>
      <w:color w:val="auto"/>
    </w:rPr>
  </w:style>
  <w:style w:type="paragraph" w:customStyle="1" w:styleId="TableHead">
    <w:name w:val="Table Head"/>
    <w:basedOn w:val="Normal"/>
    <w:next w:val="Normal"/>
    <w:rsid w:val="00133054"/>
    <w:pPr>
      <w:keepNext/>
      <w:spacing w:before="80" w:after="80" w:line="240" w:lineRule="auto"/>
      <w:jc w:val="center"/>
    </w:pPr>
    <w:rPr>
      <w:rFonts w:ascii="Helvetica" w:hAnsi="Helvetica"/>
      <w:b/>
      <w:sz w:val="18"/>
      <w:szCs w:val="20"/>
      <w:lang w:bidi="ar-SA"/>
    </w:rPr>
  </w:style>
  <w:style w:type="paragraph" w:customStyle="1" w:styleId="TableText0">
    <w:name w:val="Table Text"/>
    <w:basedOn w:val="BodyText0"/>
    <w:rsid w:val="00133054"/>
    <w:pPr>
      <w:spacing w:before="120" w:line="240" w:lineRule="auto"/>
    </w:pPr>
    <w:rPr>
      <w:rFonts w:ascii="Arial" w:hAnsi="Arial"/>
      <w:sz w:val="18"/>
      <w:szCs w:val="24"/>
      <w:lang w:bidi="ar-SA"/>
    </w:rPr>
  </w:style>
  <w:style w:type="paragraph" w:customStyle="1" w:styleId="TOC">
    <w:name w:val="TOC"/>
    <w:next w:val="TOC1"/>
    <w:rsid w:val="00133054"/>
    <w:pPr>
      <w:pBdr>
        <w:bottom w:val="single" w:sz="8" w:space="1" w:color="auto"/>
      </w:pBdr>
      <w:tabs>
        <w:tab w:val="right" w:leader="dot" w:pos="8640"/>
      </w:tabs>
      <w:spacing w:after="480"/>
    </w:pPr>
    <w:rPr>
      <w:rFonts w:ascii="Arial Narrow" w:hAnsi="Arial Narrow"/>
      <w:b/>
      <w:sz w:val="48"/>
    </w:rPr>
  </w:style>
  <w:style w:type="paragraph" w:customStyle="1" w:styleId="upar2">
    <w:name w:val="upar2"/>
    <w:basedOn w:val="Default"/>
    <w:next w:val="Default"/>
    <w:rsid w:val="00133054"/>
    <w:pPr>
      <w:spacing w:before="240"/>
    </w:pPr>
    <w:rPr>
      <w:rFonts w:ascii="Arial" w:eastAsia="Times New Roman" w:hAnsi="Arial" w:cs="Times New Roman"/>
      <w:color w:val="auto"/>
    </w:rPr>
  </w:style>
  <w:style w:type="paragraph" w:customStyle="1" w:styleId="bullet">
    <w:name w:val="bullet"/>
    <w:basedOn w:val="BodyText0"/>
    <w:qFormat/>
    <w:rsid w:val="00133054"/>
    <w:pPr>
      <w:numPr>
        <w:numId w:val="14"/>
      </w:numPr>
      <w:tabs>
        <w:tab w:val="left" w:pos="720"/>
      </w:tabs>
      <w:spacing w:line="240" w:lineRule="auto"/>
      <w:ind w:left="720"/>
    </w:pPr>
    <w:rPr>
      <w:rFonts w:ascii="Times New Roman" w:hAnsi="Times New Roman"/>
      <w:position w:val="-3"/>
      <w:szCs w:val="24"/>
      <w:lang w:bidi="ar-SA"/>
    </w:rPr>
  </w:style>
  <w:style w:type="paragraph" w:customStyle="1" w:styleId="Reference">
    <w:name w:val="Reference"/>
    <w:basedOn w:val="BodyText0"/>
    <w:qFormat/>
    <w:rsid w:val="00133054"/>
    <w:pPr>
      <w:spacing w:line="240" w:lineRule="auto"/>
      <w:ind w:left="360" w:hanging="360"/>
    </w:pPr>
    <w:rPr>
      <w:rFonts w:ascii="Times New Roman" w:hAnsi="Times New Roman"/>
      <w:szCs w:val="24"/>
      <w:lang w:bidi="ar-SA"/>
    </w:rPr>
  </w:style>
  <w:style w:type="character" w:customStyle="1" w:styleId="italic">
    <w:name w:val="italic"/>
    <w:rsid w:val="00133054"/>
    <w:rPr>
      <w:rFonts w:ascii="Times New Roman" w:hAnsi="Times New Roman"/>
      <w:i/>
      <w:sz w:val="22"/>
    </w:rPr>
  </w:style>
  <w:style w:type="paragraph" w:customStyle="1" w:styleId="AppendixBodyText">
    <w:name w:val="Appendix Body Text"/>
    <w:basedOn w:val="Normal"/>
    <w:qFormat/>
    <w:rsid w:val="00133054"/>
    <w:pPr>
      <w:spacing w:before="120" w:after="120" w:line="250" w:lineRule="auto"/>
      <w:ind w:right="269"/>
    </w:pPr>
    <w:rPr>
      <w:rFonts w:ascii="Arial" w:eastAsia="Arial" w:hAnsi="Arial" w:cs="Arial"/>
      <w:szCs w:val="24"/>
      <w:lang w:bidi="ar-SA"/>
    </w:rPr>
  </w:style>
  <w:style w:type="paragraph" w:customStyle="1" w:styleId="Heading1Appendix">
    <w:name w:val="Heading 1 Appendix"/>
    <w:basedOn w:val="Normal"/>
    <w:qFormat/>
    <w:rsid w:val="00133054"/>
    <w:pPr>
      <w:spacing w:before="120" w:after="120" w:line="240" w:lineRule="auto"/>
      <w:ind w:right="-20"/>
    </w:pPr>
    <w:rPr>
      <w:rFonts w:ascii="Arial" w:eastAsia="Arial" w:hAnsi="Arial" w:cs="Arial"/>
      <w:b/>
      <w:bCs/>
      <w:sz w:val="24"/>
      <w:szCs w:val="24"/>
      <w:lang w:bidi="ar-SA"/>
    </w:rPr>
  </w:style>
  <w:style w:type="character" w:customStyle="1" w:styleId="Bold">
    <w:name w:val="Bold"/>
    <w:uiPriority w:val="1"/>
    <w:qFormat/>
    <w:rsid w:val="00133054"/>
    <w:rPr>
      <w:rFonts w:ascii="Times New Roman" w:hAnsi="Times New Roman"/>
      <w:b/>
      <w:bCs/>
      <w:spacing w:val="0"/>
      <w:w w:val="100"/>
      <w:sz w:val="22"/>
    </w:rPr>
  </w:style>
  <w:style w:type="paragraph" w:customStyle="1" w:styleId="StyleBodyText">
    <w:name w:val="Style Body Text +"/>
    <w:basedOn w:val="BodyText0"/>
    <w:rsid w:val="00133054"/>
    <w:pPr>
      <w:spacing w:line="240" w:lineRule="auto"/>
    </w:pPr>
    <w:rPr>
      <w:rFonts w:ascii="Times New Roman" w:hAnsi="Times New Roman"/>
      <w:szCs w:val="24"/>
      <w:u w:color="000000"/>
      <w:lang w:bidi="ar-SA"/>
    </w:rPr>
  </w:style>
  <w:style w:type="paragraph" w:customStyle="1" w:styleId="FigureTitleAppC">
    <w:name w:val="Figure Title App C"/>
    <w:basedOn w:val="Normal"/>
    <w:next w:val="BodyText0"/>
    <w:rsid w:val="00133054"/>
    <w:pPr>
      <w:numPr>
        <w:numId w:val="15"/>
      </w:numPr>
      <w:tabs>
        <w:tab w:val="right" w:leader="dot" w:pos="9360"/>
      </w:tabs>
      <w:spacing w:before="120" w:after="120" w:line="240" w:lineRule="auto"/>
    </w:pPr>
    <w:rPr>
      <w:rFonts w:ascii="Arial" w:hAnsi="Arial"/>
      <w:b/>
      <w:sz w:val="20"/>
      <w:szCs w:val="24"/>
      <w:lang w:bidi="ar-SA"/>
    </w:rPr>
  </w:style>
  <w:style w:type="paragraph" w:customStyle="1" w:styleId="FigureCaption">
    <w:name w:val="FigureCaption"/>
    <w:basedOn w:val="Normal"/>
    <w:next w:val="Normal"/>
    <w:qFormat/>
    <w:rsid w:val="0059765F"/>
    <w:pPr>
      <w:tabs>
        <w:tab w:val="left" w:pos="450"/>
        <w:tab w:val="right" w:leader="dot" w:pos="9350"/>
      </w:tabs>
      <w:spacing w:before="200" w:after="0" w:line="240" w:lineRule="auto"/>
    </w:pPr>
    <w:rPr>
      <w:rFonts w:ascii="Arial" w:hAnsi="Arial"/>
      <w:b/>
      <w:bCs/>
      <w:sz w:val="20"/>
    </w:rPr>
  </w:style>
  <w:style w:type="character" w:customStyle="1" w:styleId="a">
    <w:name w:val="_"/>
    <w:rsid w:val="00235AB2"/>
  </w:style>
  <w:style w:type="character" w:customStyle="1" w:styleId="ws47">
    <w:name w:val="ws47"/>
    <w:rsid w:val="00235AB2"/>
  </w:style>
  <w:style w:type="character" w:customStyle="1" w:styleId="fsc">
    <w:name w:val="fsc"/>
    <w:rsid w:val="00235AB2"/>
  </w:style>
  <w:style w:type="character" w:customStyle="1" w:styleId="ff9">
    <w:name w:val="ff9"/>
    <w:rsid w:val="00235AB2"/>
  </w:style>
  <w:style w:type="character" w:customStyle="1" w:styleId="UnresolvedMention1">
    <w:name w:val="Unresolved Mention1"/>
    <w:uiPriority w:val="99"/>
    <w:semiHidden/>
    <w:unhideWhenUsed/>
    <w:rsid w:val="00AA487E"/>
    <w:rPr>
      <w:color w:val="808080"/>
      <w:shd w:val="clear" w:color="auto" w:fill="E6E6E6"/>
    </w:rPr>
  </w:style>
  <w:style w:type="table" w:customStyle="1" w:styleId="PlainTable51">
    <w:name w:val="Plain Table 51"/>
    <w:basedOn w:val="TableNormal"/>
    <w:uiPriority w:val="45"/>
    <w:rsid w:val="006824AA"/>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PlainTable41">
    <w:name w:val="Plain Table 41"/>
    <w:basedOn w:val="TableNormal"/>
    <w:uiPriority w:val="44"/>
    <w:rsid w:val="00544D95"/>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styleId="HTMLCite">
    <w:name w:val="HTML Cite"/>
    <w:basedOn w:val="DefaultParagraphFont"/>
    <w:uiPriority w:val="99"/>
    <w:semiHidden/>
    <w:unhideWhenUsed/>
    <w:rsid w:val="007F6AEB"/>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7489624">
      <w:bodyDiv w:val="1"/>
      <w:marLeft w:val="0"/>
      <w:marRight w:val="0"/>
      <w:marTop w:val="0"/>
      <w:marBottom w:val="0"/>
      <w:divBdr>
        <w:top w:val="none" w:sz="0" w:space="0" w:color="auto"/>
        <w:left w:val="none" w:sz="0" w:space="0" w:color="auto"/>
        <w:bottom w:val="none" w:sz="0" w:space="0" w:color="auto"/>
        <w:right w:val="none" w:sz="0" w:space="0" w:color="auto"/>
      </w:divBdr>
      <w:divsChild>
        <w:div w:id="430201611">
          <w:marLeft w:val="1166"/>
          <w:marRight w:val="0"/>
          <w:marTop w:val="125"/>
          <w:marBottom w:val="0"/>
          <w:divBdr>
            <w:top w:val="none" w:sz="0" w:space="0" w:color="auto"/>
            <w:left w:val="none" w:sz="0" w:space="0" w:color="auto"/>
            <w:bottom w:val="none" w:sz="0" w:space="0" w:color="auto"/>
            <w:right w:val="none" w:sz="0" w:space="0" w:color="auto"/>
          </w:divBdr>
        </w:div>
        <w:div w:id="451361804">
          <w:marLeft w:val="547"/>
          <w:marRight w:val="0"/>
          <w:marTop w:val="144"/>
          <w:marBottom w:val="0"/>
          <w:divBdr>
            <w:top w:val="none" w:sz="0" w:space="0" w:color="auto"/>
            <w:left w:val="none" w:sz="0" w:space="0" w:color="auto"/>
            <w:bottom w:val="none" w:sz="0" w:space="0" w:color="auto"/>
            <w:right w:val="none" w:sz="0" w:space="0" w:color="auto"/>
          </w:divBdr>
        </w:div>
        <w:div w:id="685787382">
          <w:marLeft w:val="1166"/>
          <w:marRight w:val="0"/>
          <w:marTop w:val="125"/>
          <w:marBottom w:val="0"/>
          <w:divBdr>
            <w:top w:val="none" w:sz="0" w:space="0" w:color="auto"/>
            <w:left w:val="none" w:sz="0" w:space="0" w:color="auto"/>
            <w:bottom w:val="none" w:sz="0" w:space="0" w:color="auto"/>
            <w:right w:val="none" w:sz="0" w:space="0" w:color="auto"/>
          </w:divBdr>
        </w:div>
        <w:div w:id="860508734">
          <w:marLeft w:val="547"/>
          <w:marRight w:val="0"/>
          <w:marTop w:val="144"/>
          <w:marBottom w:val="0"/>
          <w:divBdr>
            <w:top w:val="none" w:sz="0" w:space="0" w:color="auto"/>
            <w:left w:val="none" w:sz="0" w:space="0" w:color="auto"/>
            <w:bottom w:val="none" w:sz="0" w:space="0" w:color="auto"/>
            <w:right w:val="none" w:sz="0" w:space="0" w:color="auto"/>
          </w:divBdr>
        </w:div>
        <w:div w:id="1090857035">
          <w:marLeft w:val="1166"/>
          <w:marRight w:val="0"/>
          <w:marTop w:val="125"/>
          <w:marBottom w:val="0"/>
          <w:divBdr>
            <w:top w:val="none" w:sz="0" w:space="0" w:color="auto"/>
            <w:left w:val="none" w:sz="0" w:space="0" w:color="auto"/>
            <w:bottom w:val="none" w:sz="0" w:space="0" w:color="auto"/>
            <w:right w:val="none" w:sz="0" w:space="0" w:color="auto"/>
          </w:divBdr>
        </w:div>
        <w:div w:id="1127160604">
          <w:marLeft w:val="1166"/>
          <w:marRight w:val="0"/>
          <w:marTop w:val="125"/>
          <w:marBottom w:val="0"/>
          <w:divBdr>
            <w:top w:val="none" w:sz="0" w:space="0" w:color="auto"/>
            <w:left w:val="none" w:sz="0" w:space="0" w:color="auto"/>
            <w:bottom w:val="none" w:sz="0" w:space="0" w:color="auto"/>
            <w:right w:val="none" w:sz="0" w:space="0" w:color="auto"/>
          </w:divBdr>
        </w:div>
        <w:div w:id="1154182279">
          <w:marLeft w:val="1166"/>
          <w:marRight w:val="0"/>
          <w:marTop w:val="125"/>
          <w:marBottom w:val="0"/>
          <w:divBdr>
            <w:top w:val="none" w:sz="0" w:space="0" w:color="auto"/>
            <w:left w:val="none" w:sz="0" w:space="0" w:color="auto"/>
            <w:bottom w:val="none" w:sz="0" w:space="0" w:color="auto"/>
            <w:right w:val="none" w:sz="0" w:space="0" w:color="auto"/>
          </w:divBdr>
        </w:div>
        <w:div w:id="1157185088">
          <w:marLeft w:val="1166"/>
          <w:marRight w:val="0"/>
          <w:marTop w:val="125"/>
          <w:marBottom w:val="0"/>
          <w:divBdr>
            <w:top w:val="none" w:sz="0" w:space="0" w:color="auto"/>
            <w:left w:val="none" w:sz="0" w:space="0" w:color="auto"/>
            <w:bottom w:val="none" w:sz="0" w:space="0" w:color="auto"/>
            <w:right w:val="none" w:sz="0" w:space="0" w:color="auto"/>
          </w:divBdr>
        </w:div>
        <w:div w:id="1366324372">
          <w:marLeft w:val="547"/>
          <w:marRight w:val="0"/>
          <w:marTop w:val="144"/>
          <w:marBottom w:val="0"/>
          <w:divBdr>
            <w:top w:val="none" w:sz="0" w:space="0" w:color="auto"/>
            <w:left w:val="none" w:sz="0" w:space="0" w:color="auto"/>
            <w:bottom w:val="none" w:sz="0" w:space="0" w:color="auto"/>
            <w:right w:val="none" w:sz="0" w:space="0" w:color="auto"/>
          </w:divBdr>
        </w:div>
        <w:div w:id="1462769360">
          <w:marLeft w:val="1166"/>
          <w:marRight w:val="0"/>
          <w:marTop w:val="125"/>
          <w:marBottom w:val="0"/>
          <w:divBdr>
            <w:top w:val="none" w:sz="0" w:space="0" w:color="auto"/>
            <w:left w:val="none" w:sz="0" w:space="0" w:color="auto"/>
            <w:bottom w:val="none" w:sz="0" w:space="0" w:color="auto"/>
            <w:right w:val="none" w:sz="0" w:space="0" w:color="auto"/>
          </w:divBdr>
        </w:div>
        <w:div w:id="1935699357">
          <w:marLeft w:val="1166"/>
          <w:marRight w:val="0"/>
          <w:marTop w:val="125"/>
          <w:marBottom w:val="0"/>
          <w:divBdr>
            <w:top w:val="none" w:sz="0" w:space="0" w:color="auto"/>
            <w:left w:val="none" w:sz="0" w:space="0" w:color="auto"/>
            <w:bottom w:val="none" w:sz="0" w:space="0" w:color="auto"/>
            <w:right w:val="none" w:sz="0" w:space="0" w:color="auto"/>
          </w:divBdr>
        </w:div>
      </w:divsChild>
    </w:div>
    <w:div w:id="13848362">
      <w:bodyDiv w:val="1"/>
      <w:marLeft w:val="0"/>
      <w:marRight w:val="0"/>
      <w:marTop w:val="0"/>
      <w:marBottom w:val="0"/>
      <w:divBdr>
        <w:top w:val="none" w:sz="0" w:space="0" w:color="auto"/>
        <w:left w:val="none" w:sz="0" w:space="0" w:color="auto"/>
        <w:bottom w:val="none" w:sz="0" w:space="0" w:color="auto"/>
        <w:right w:val="none" w:sz="0" w:space="0" w:color="auto"/>
      </w:divBdr>
    </w:div>
    <w:div w:id="45565108">
      <w:bodyDiv w:val="1"/>
      <w:marLeft w:val="0"/>
      <w:marRight w:val="0"/>
      <w:marTop w:val="0"/>
      <w:marBottom w:val="0"/>
      <w:divBdr>
        <w:top w:val="none" w:sz="0" w:space="0" w:color="auto"/>
        <w:left w:val="none" w:sz="0" w:space="0" w:color="auto"/>
        <w:bottom w:val="none" w:sz="0" w:space="0" w:color="auto"/>
        <w:right w:val="none" w:sz="0" w:space="0" w:color="auto"/>
      </w:divBdr>
    </w:div>
    <w:div w:id="61610566">
      <w:bodyDiv w:val="1"/>
      <w:marLeft w:val="0"/>
      <w:marRight w:val="0"/>
      <w:marTop w:val="0"/>
      <w:marBottom w:val="0"/>
      <w:divBdr>
        <w:top w:val="none" w:sz="0" w:space="0" w:color="auto"/>
        <w:left w:val="none" w:sz="0" w:space="0" w:color="auto"/>
        <w:bottom w:val="none" w:sz="0" w:space="0" w:color="auto"/>
        <w:right w:val="none" w:sz="0" w:space="0" w:color="auto"/>
      </w:divBdr>
    </w:div>
    <w:div w:id="119538196">
      <w:bodyDiv w:val="1"/>
      <w:marLeft w:val="0"/>
      <w:marRight w:val="0"/>
      <w:marTop w:val="0"/>
      <w:marBottom w:val="0"/>
      <w:divBdr>
        <w:top w:val="none" w:sz="0" w:space="0" w:color="auto"/>
        <w:left w:val="none" w:sz="0" w:space="0" w:color="auto"/>
        <w:bottom w:val="none" w:sz="0" w:space="0" w:color="auto"/>
        <w:right w:val="none" w:sz="0" w:space="0" w:color="auto"/>
      </w:divBdr>
    </w:div>
    <w:div w:id="138884974">
      <w:bodyDiv w:val="1"/>
      <w:marLeft w:val="0"/>
      <w:marRight w:val="0"/>
      <w:marTop w:val="0"/>
      <w:marBottom w:val="0"/>
      <w:divBdr>
        <w:top w:val="none" w:sz="0" w:space="0" w:color="auto"/>
        <w:left w:val="none" w:sz="0" w:space="0" w:color="auto"/>
        <w:bottom w:val="none" w:sz="0" w:space="0" w:color="auto"/>
        <w:right w:val="none" w:sz="0" w:space="0" w:color="auto"/>
      </w:divBdr>
    </w:div>
    <w:div w:id="157352055">
      <w:bodyDiv w:val="1"/>
      <w:marLeft w:val="0"/>
      <w:marRight w:val="0"/>
      <w:marTop w:val="0"/>
      <w:marBottom w:val="0"/>
      <w:divBdr>
        <w:top w:val="none" w:sz="0" w:space="0" w:color="auto"/>
        <w:left w:val="none" w:sz="0" w:space="0" w:color="auto"/>
        <w:bottom w:val="none" w:sz="0" w:space="0" w:color="auto"/>
        <w:right w:val="none" w:sz="0" w:space="0" w:color="auto"/>
      </w:divBdr>
    </w:div>
    <w:div w:id="211498279">
      <w:bodyDiv w:val="1"/>
      <w:marLeft w:val="0"/>
      <w:marRight w:val="0"/>
      <w:marTop w:val="0"/>
      <w:marBottom w:val="0"/>
      <w:divBdr>
        <w:top w:val="none" w:sz="0" w:space="0" w:color="auto"/>
        <w:left w:val="none" w:sz="0" w:space="0" w:color="auto"/>
        <w:bottom w:val="none" w:sz="0" w:space="0" w:color="auto"/>
        <w:right w:val="none" w:sz="0" w:space="0" w:color="auto"/>
      </w:divBdr>
    </w:div>
    <w:div w:id="307319493">
      <w:bodyDiv w:val="1"/>
      <w:marLeft w:val="0"/>
      <w:marRight w:val="0"/>
      <w:marTop w:val="0"/>
      <w:marBottom w:val="0"/>
      <w:divBdr>
        <w:top w:val="none" w:sz="0" w:space="0" w:color="auto"/>
        <w:left w:val="none" w:sz="0" w:space="0" w:color="auto"/>
        <w:bottom w:val="none" w:sz="0" w:space="0" w:color="auto"/>
        <w:right w:val="none" w:sz="0" w:space="0" w:color="auto"/>
      </w:divBdr>
      <w:divsChild>
        <w:div w:id="674768032">
          <w:marLeft w:val="480"/>
          <w:marRight w:val="0"/>
          <w:marTop w:val="0"/>
          <w:marBottom w:val="0"/>
          <w:divBdr>
            <w:top w:val="none" w:sz="0" w:space="0" w:color="auto"/>
            <w:left w:val="none" w:sz="0" w:space="0" w:color="auto"/>
            <w:bottom w:val="none" w:sz="0" w:space="0" w:color="auto"/>
            <w:right w:val="none" w:sz="0" w:space="0" w:color="auto"/>
          </w:divBdr>
          <w:divsChild>
            <w:div w:id="7260275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9044704">
      <w:bodyDiv w:val="1"/>
      <w:marLeft w:val="0"/>
      <w:marRight w:val="0"/>
      <w:marTop w:val="0"/>
      <w:marBottom w:val="0"/>
      <w:divBdr>
        <w:top w:val="none" w:sz="0" w:space="0" w:color="auto"/>
        <w:left w:val="none" w:sz="0" w:space="0" w:color="auto"/>
        <w:bottom w:val="none" w:sz="0" w:space="0" w:color="auto"/>
        <w:right w:val="none" w:sz="0" w:space="0" w:color="auto"/>
      </w:divBdr>
      <w:divsChild>
        <w:div w:id="1896232450">
          <w:marLeft w:val="480"/>
          <w:marRight w:val="0"/>
          <w:marTop w:val="0"/>
          <w:marBottom w:val="0"/>
          <w:divBdr>
            <w:top w:val="none" w:sz="0" w:space="0" w:color="auto"/>
            <w:left w:val="none" w:sz="0" w:space="0" w:color="auto"/>
            <w:bottom w:val="none" w:sz="0" w:space="0" w:color="auto"/>
            <w:right w:val="none" w:sz="0" w:space="0" w:color="auto"/>
          </w:divBdr>
          <w:divsChild>
            <w:div w:id="14002485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6486322">
      <w:bodyDiv w:val="1"/>
      <w:marLeft w:val="0"/>
      <w:marRight w:val="0"/>
      <w:marTop w:val="0"/>
      <w:marBottom w:val="0"/>
      <w:divBdr>
        <w:top w:val="none" w:sz="0" w:space="0" w:color="auto"/>
        <w:left w:val="none" w:sz="0" w:space="0" w:color="auto"/>
        <w:bottom w:val="none" w:sz="0" w:space="0" w:color="auto"/>
        <w:right w:val="none" w:sz="0" w:space="0" w:color="auto"/>
      </w:divBdr>
    </w:div>
    <w:div w:id="443161765">
      <w:bodyDiv w:val="1"/>
      <w:marLeft w:val="0"/>
      <w:marRight w:val="0"/>
      <w:marTop w:val="0"/>
      <w:marBottom w:val="0"/>
      <w:divBdr>
        <w:top w:val="none" w:sz="0" w:space="0" w:color="auto"/>
        <w:left w:val="none" w:sz="0" w:space="0" w:color="auto"/>
        <w:bottom w:val="none" w:sz="0" w:space="0" w:color="auto"/>
        <w:right w:val="none" w:sz="0" w:space="0" w:color="auto"/>
      </w:divBdr>
    </w:div>
    <w:div w:id="459878558">
      <w:bodyDiv w:val="1"/>
      <w:marLeft w:val="0"/>
      <w:marRight w:val="0"/>
      <w:marTop w:val="0"/>
      <w:marBottom w:val="0"/>
      <w:divBdr>
        <w:top w:val="none" w:sz="0" w:space="0" w:color="auto"/>
        <w:left w:val="none" w:sz="0" w:space="0" w:color="auto"/>
        <w:bottom w:val="none" w:sz="0" w:space="0" w:color="auto"/>
        <w:right w:val="none" w:sz="0" w:space="0" w:color="auto"/>
      </w:divBdr>
    </w:div>
    <w:div w:id="536309999">
      <w:bodyDiv w:val="1"/>
      <w:marLeft w:val="0"/>
      <w:marRight w:val="0"/>
      <w:marTop w:val="0"/>
      <w:marBottom w:val="0"/>
      <w:divBdr>
        <w:top w:val="none" w:sz="0" w:space="0" w:color="auto"/>
        <w:left w:val="none" w:sz="0" w:space="0" w:color="auto"/>
        <w:bottom w:val="none" w:sz="0" w:space="0" w:color="auto"/>
        <w:right w:val="none" w:sz="0" w:space="0" w:color="auto"/>
      </w:divBdr>
    </w:div>
    <w:div w:id="597836349">
      <w:bodyDiv w:val="1"/>
      <w:marLeft w:val="0"/>
      <w:marRight w:val="0"/>
      <w:marTop w:val="0"/>
      <w:marBottom w:val="0"/>
      <w:divBdr>
        <w:top w:val="none" w:sz="0" w:space="0" w:color="auto"/>
        <w:left w:val="none" w:sz="0" w:space="0" w:color="auto"/>
        <w:bottom w:val="none" w:sz="0" w:space="0" w:color="auto"/>
        <w:right w:val="none" w:sz="0" w:space="0" w:color="auto"/>
      </w:divBdr>
    </w:div>
    <w:div w:id="721365718">
      <w:bodyDiv w:val="1"/>
      <w:marLeft w:val="0"/>
      <w:marRight w:val="0"/>
      <w:marTop w:val="0"/>
      <w:marBottom w:val="0"/>
      <w:divBdr>
        <w:top w:val="none" w:sz="0" w:space="0" w:color="auto"/>
        <w:left w:val="none" w:sz="0" w:space="0" w:color="auto"/>
        <w:bottom w:val="none" w:sz="0" w:space="0" w:color="auto"/>
        <w:right w:val="none" w:sz="0" w:space="0" w:color="auto"/>
      </w:divBdr>
    </w:div>
    <w:div w:id="755319477">
      <w:bodyDiv w:val="1"/>
      <w:marLeft w:val="0"/>
      <w:marRight w:val="0"/>
      <w:marTop w:val="0"/>
      <w:marBottom w:val="0"/>
      <w:divBdr>
        <w:top w:val="none" w:sz="0" w:space="0" w:color="auto"/>
        <w:left w:val="none" w:sz="0" w:space="0" w:color="auto"/>
        <w:bottom w:val="none" w:sz="0" w:space="0" w:color="auto"/>
        <w:right w:val="none" w:sz="0" w:space="0" w:color="auto"/>
      </w:divBdr>
    </w:div>
    <w:div w:id="768892849">
      <w:bodyDiv w:val="1"/>
      <w:marLeft w:val="0"/>
      <w:marRight w:val="0"/>
      <w:marTop w:val="0"/>
      <w:marBottom w:val="0"/>
      <w:divBdr>
        <w:top w:val="none" w:sz="0" w:space="0" w:color="auto"/>
        <w:left w:val="none" w:sz="0" w:space="0" w:color="auto"/>
        <w:bottom w:val="none" w:sz="0" w:space="0" w:color="auto"/>
        <w:right w:val="none" w:sz="0" w:space="0" w:color="auto"/>
      </w:divBdr>
      <w:divsChild>
        <w:div w:id="610942231">
          <w:marLeft w:val="480"/>
          <w:marRight w:val="0"/>
          <w:marTop w:val="0"/>
          <w:marBottom w:val="0"/>
          <w:divBdr>
            <w:top w:val="none" w:sz="0" w:space="0" w:color="auto"/>
            <w:left w:val="none" w:sz="0" w:space="0" w:color="auto"/>
            <w:bottom w:val="none" w:sz="0" w:space="0" w:color="auto"/>
            <w:right w:val="none" w:sz="0" w:space="0" w:color="auto"/>
          </w:divBdr>
          <w:divsChild>
            <w:div w:id="1061243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3793356">
      <w:bodyDiv w:val="1"/>
      <w:marLeft w:val="0"/>
      <w:marRight w:val="0"/>
      <w:marTop w:val="0"/>
      <w:marBottom w:val="0"/>
      <w:divBdr>
        <w:top w:val="none" w:sz="0" w:space="0" w:color="auto"/>
        <w:left w:val="none" w:sz="0" w:space="0" w:color="auto"/>
        <w:bottom w:val="none" w:sz="0" w:space="0" w:color="auto"/>
        <w:right w:val="none" w:sz="0" w:space="0" w:color="auto"/>
      </w:divBdr>
    </w:div>
    <w:div w:id="804784417">
      <w:bodyDiv w:val="1"/>
      <w:marLeft w:val="0"/>
      <w:marRight w:val="0"/>
      <w:marTop w:val="0"/>
      <w:marBottom w:val="0"/>
      <w:divBdr>
        <w:top w:val="none" w:sz="0" w:space="0" w:color="auto"/>
        <w:left w:val="none" w:sz="0" w:space="0" w:color="auto"/>
        <w:bottom w:val="none" w:sz="0" w:space="0" w:color="auto"/>
        <w:right w:val="none" w:sz="0" w:space="0" w:color="auto"/>
      </w:divBdr>
      <w:divsChild>
        <w:div w:id="240405894">
          <w:marLeft w:val="547"/>
          <w:marRight w:val="0"/>
          <w:marTop w:val="154"/>
          <w:marBottom w:val="0"/>
          <w:divBdr>
            <w:top w:val="none" w:sz="0" w:space="0" w:color="auto"/>
            <w:left w:val="none" w:sz="0" w:space="0" w:color="auto"/>
            <w:bottom w:val="none" w:sz="0" w:space="0" w:color="auto"/>
            <w:right w:val="none" w:sz="0" w:space="0" w:color="auto"/>
          </w:divBdr>
        </w:div>
        <w:div w:id="782069336">
          <w:marLeft w:val="547"/>
          <w:marRight w:val="0"/>
          <w:marTop w:val="154"/>
          <w:marBottom w:val="0"/>
          <w:divBdr>
            <w:top w:val="none" w:sz="0" w:space="0" w:color="auto"/>
            <w:left w:val="none" w:sz="0" w:space="0" w:color="auto"/>
            <w:bottom w:val="none" w:sz="0" w:space="0" w:color="auto"/>
            <w:right w:val="none" w:sz="0" w:space="0" w:color="auto"/>
          </w:divBdr>
        </w:div>
        <w:div w:id="1120219261">
          <w:marLeft w:val="1166"/>
          <w:marRight w:val="0"/>
          <w:marTop w:val="134"/>
          <w:marBottom w:val="0"/>
          <w:divBdr>
            <w:top w:val="none" w:sz="0" w:space="0" w:color="auto"/>
            <w:left w:val="none" w:sz="0" w:space="0" w:color="auto"/>
            <w:bottom w:val="none" w:sz="0" w:space="0" w:color="auto"/>
            <w:right w:val="none" w:sz="0" w:space="0" w:color="auto"/>
          </w:divBdr>
        </w:div>
        <w:div w:id="1581452451">
          <w:marLeft w:val="547"/>
          <w:marRight w:val="0"/>
          <w:marTop w:val="154"/>
          <w:marBottom w:val="0"/>
          <w:divBdr>
            <w:top w:val="none" w:sz="0" w:space="0" w:color="auto"/>
            <w:left w:val="none" w:sz="0" w:space="0" w:color="auto"/>
            <w:bottom w:val="none" w:sz="0" w:space="0" w:color="auto"/>
            <w:right w:val="none" w:sz="0" w:space="0" w:color="auto"/>
          </w:divBdr>
        </w:div>
      </w:divsChild>
    </w:div>
    <w:div w:id="895241356">
      <w:bodyDiv w:val="1"/>
      <w:marLeft w:val="0"/>
      <w:marRight w:val="0"/>
      <w:marTop w:val="0"/>
      <w:marBottom w:val="0"/>
      <w:divBdr>
        <w:top w:val="none" w:sz="0" w:space="0" w:color="auto"/>
        <w:left w:val="none" w:sz="0" w:space="0" w:color="auto"/>
        <w:bottom w:val="none" w:sz="0" w:space="0" w:color="auto"/>
        <w:right w:val="none" w:sz="0" w:space="0" w:color="auto"/>
      </w:divBdr>
      <w:divsChild>
        <w:div w:id="1909488029">
          <w:marLeft w:val="480"/>
          <w:marRight w:val="0"/>
          <w:marTop w:val="0"/>
          <w:marBottom w:val="0"/>
          <w:divBdr>
            <w:top w:val="none" w:sz="0" w:space="0" w:color="auto"/>
            <w:left w:val="none" w:sz="0" w:space="0" w:color="auto"/>
            <w:bottom w:val="none" w:sz="0" w:space="0" w:color="auto"/>
            <w:right w:val="none" w:sz="0" w:space="0" w:color="auto"/>
          </w:divBdr>
          <w:divsChild>
            <w:div w:id="2230279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6642203">
      <w:bodyDiv w:val="1"/>
      <w:marLeft w:val="0"/>
      <w:marRight w:val="0"/>
      <w:marTop w:val="0"/>
      <w:marBottom w:val="0"/>
      <w:divBdr>
        <w:top w:val="none" w:sz="0" w:space="0" w:color="auto"/>
        <w:left w:val="none" w:sz="0" w:space="0" w:color="auto"/>
        <w:bottom w:val="none" w:sz="0" w:space="0" w:color="auto"/>
        <w:right w:val="none" w:sz="0" w:space="0" w:color="auto"/>
      </w:divBdr>
      <w:divsChild>
        <w:div w:id="1163932173">
          <w:marLeft w:val="480"/>
          <w:marRight w:val="0"/>
          <w:marTop w:val="0"/>
          <w:marBottom w:val="0"/>
          <w:divBdr>
            <w:top w:val="none" w:sz="0" w:space="0" w:color="auto"/>
            <w:left w:val="none" w:sz="0" w:space="0" w:color="auto"/>
            <w:bottom w:val="none" w:sz="0" w:space="0" w:color="auto"/>
            <w:right w:val="none" w:sz="0" w:space="0" w:color="auto"/>
          </w:divBdr>
          <w:divsChild>
            <w:div w:id="15183509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3686229">
      <w:bodyDiv w:val="1"/>
      <w:marLeft w:val="0"/>
      <w:marRight w:val="0"/>
      <w:marTop w:val="0"/>
      <w:marBottom w:val="0"/>
      <w:divBdr>
        <w:top w:val="none" w:sz="0" w:space="0" w:color="auto"/>
        <w:left w:val="none" w:sz="0" w:space="0" w:color="auto"/>
        <w:bottom w:val="none" w:sz="0" w:space="0" w:color="auto"/>
        <w:right w:val="none" w:sz="0" w:space="0" w:color="auto"/>
      </w:divBdr>
    </w:div>
    <w:div w:id="1004477085">
      <w:bodyDiv w:val="1"/>
      <w:marLeft w:val="0"/>
      <w:marRight w:val="0"/>
      <w:marTop w:val="0"/>
      <w:marBottom w:val="0"/>
      <w:divBdr>
        <w:top w:val="none" w:sz="0" w:space="0" w:color="auto"/>
        <w:left w:val="none" w:sz="0" w:space="0" w:color="auto"/>
        <w:bottom w:val="none" w:sz="0" w:space="0" w:color="auto"/>
        <w:right w:val="none" w:sz="0" w:space="0" w:color="auto"/>
      </w:divBdr>
    </w:div>
    <w:div w:id="1025867164">
      <w:bodyDiv w:val="1"/>
      <w:marLeft w:val="0"/>
      <w:marRight w:val="0"/>
      <w:marTop w:val="0"/>
      <w:marBottom w:val="0"/>
      <w:divBdr>
        <w:top w:val="none" w:sz="0" w:space="0" w:color="auto"/>
        <w:left w:val="none" w:sz="0" w:space="0" w:color="auto"/>
        <w:bottom w:val="none" w:sz="0" w:space="0" w:color="auto"/>
        <w:right w:val="none" w:sz="0" w:space="0" w:color="auto"/>
      </w:divBdr>
    </w:div>
    <w:div w:id="1098258363">
      <w:bodyDiv w:val="1"/>
      <w:marLeft w:val="0"/>
      <w:marRight w:val="0"/>
      <w:marTop w:val="0"/>
      <w:marBottom w:val="0"/>
      <w:divBdr>
        <w:top w:val="none" w:sz="0" w:space="0" w:color="auto"/>
        <w:left w:val="none" w:sz="0" w:space="0" w:color="auto"/>
        <w:bottom w:val="none" w:sz="0" w:space="0" w:color="auto"/>
        <w:right w:val="none" w:sz="0" w:space="0" w:color="auto"/>
      </w:divBdr>
    </w:div>
    <w:div w:id="1143624318">
      <w:bodyDiv w:val="1"/>
      <w:marLeft w:val="0"/>
      <w:marRight w:val="0"/>
      <w:marTop w:val="0"/>
      <w:marBottom w:val="0"/>
      <w:divBdr>
        <w:top w:val="none" w:sz="0" w:space="0" w:color="auto"/>
        <w:left w:val="none" w:sz="0" w:space="0" w:color="auto"/>
        <w:bottom w:val="none" w:sz="0" w:space="0" w:color="auto"/>
        <w:right w:val="none" w:sz="0" w:space="0" w:color="auto"/>
      </w:divBdr>
    </w:div>
    <w:div w:id="1191530711">
      <w:bodyDiv w:val="1"/>
      <w:marLeft w:val="0"/>
      <w:marRight w:val="0"/>
      <w:marTop w:val="0"/>
      <w:marBottom w:val="0"/>
      <w:divBdr>
        <w:top w:val="none" w:sz="0" w:space="0" w:color="auto"/>
        <w:left w:val="none" w:sz="0" w:space="0" w:color="auto"/>
        <w:bottom w:val="none" w:sz="0" w:space="0" w:color="auto"/>
        <w:right w:val="none" w:sz="0" w:space="0" w:color="auto"/>
      </w:divBdr>
    </w:div>
    <w:div w:id="1219970495">
      <w:bodyDiv w:val="1"/>
      <w:marLeft w:val="0"/>
      <w:marRight w:val="0"/>
      <w:marTop w:val="0"/>
      <w:marBottom w:val="0"/>
      <w:divBdr>
        <w:top w:val="none" w:sz="0" w:space="0" w:color="auto"/>
        <w:left w:val="none" w:sz="0" w:space="0" w:color="auto"/>
        <w:bottom w:val="none" w:sz="0" w:space="0" w:color="auto"/>
        <w:right w:val="none" w:sz="0" w:space="0" w:color="auto"/>
      </w:divBdr>
      <w:divsChild>
        <w:div w:id="39209139">
          <w:marLeft w:val="0"/>
          <w:marRight w:val="0"/>
          <w:marTop w:val="0"/>
          <w:marBottom w:val="0"/>
          <w:divBdr>
            <w:top w:val="none" w:sz="0" w:space="0" w:color="auto"/>
            <w:left w:val="none" w:sz="0" w:space="0" w:color="auto"/>
            <w:bottom w:val="none" w:sz="0" w:space="0" w:color="auto"/>
            <w:right w:val="none" w:sz="0" w:space="0" w:color="auto"/>
          </w:divBdr>
        </w:div>
        <w:div w:id="96297101">
          <w:marLeft w:val="0"/>
          <w:marRight w:val="0"/>
          <w:marTop w:val="0"/>
          <w:marBottom w:val="0"/>
          <w:divBdr>
            <w:top w:val="none" w:sz="0" w:space="0" w:color="auto"/>
            <w:left w:val="none" w:sz="0" w:space="0" w:color="auto"/>
            <w:bottom w:val="none" w:sz="0" w:space="0" w:color="auto"/>
            <w:right w:val="none" w:sz="0" w:space="0" w:color="auto"/>
          </w:divBdr>
        </w:div>
        <w:div w:id="124587164">
          <w:marLeft w:val="0"/>
          <w:marRight w:val="0"/>
          <w:marTop w:val="0"/>
          <w:marBottom w:val="0"/>
          <w:divBdr>
            <w:top w:val="none" w:sz="0" w:space="0" w:color="auto"/>
            <w:left w:val="none" w:sz="0" w:space="0" w:color="auto"/>
            <w:bottom w:val="none" w:sz="0" w:space="0" w:color="auto"/>
            <w:right w:val="none" w:sz="0" w:space="0" w:color="auto"/>
          </w:divBdr>
        </w:div>
        <w:div w:id="169486881">
          <w:marLeft w:val="0"/>
          <w:marRight w:val="0"/>
          <w:marTop w:val="0"/>
          <w:marBottom w:val="0"/>
          <w:divBdr>
            <w:top w:val="none" w:sz="0" w:space="0" w:color="auto"/>
            <w:left w:val="none" w:sz="0" w:space="0" w:color="auto"/>
            <w:bottom w:val="none" w:sz="0" w:space="0" w:color="auto"/>
            <w:right w:val="none" w:sz="0" w:space="0" w:color="auto"/>
          </w:divBdr>
        </w:div>
        <w:div w:id="171729720">
          <w:marLeft w:val="0"/>
          <w:marRight w:val="0"/>
          <w:marTop w:val="0"/>
          <w:marBottom w:val="0"/>
          <w:divBdr>
            <w:top w:val="none" w:sz="0" w:space="0" w:color="auto"/>
            <w:left w:val="none" w:sz="0" w:space="0" w:color="auto"/>
            <w:bottom w:val="none" w:sz="0" w:space="0" w:color="auto"/>
            <w:right w:val="none" w:sz="0" w:space="0" w:color="auto"/>
          </w:divBdr>
        </w:div>
        <w:div w:id="215749732">
          <w:marLeft w:val="0"/>
          <w:marRight w:val="0"/>
          <w:marTop w:val="0"/>
          <w:marBottom w:val="0"/>
          <w:divBdr>
            <w:top w:val="none" w:sz="0" w:space="0" w:color="auto"/>
            <w:left w:val="none" w:sz="0" w:space="0" w:color="auto"/>
            <w:bottom w:val="none" w:sz="0" w:space="0" w:color="auto"/>
            <w:right w:val="none" w:sz="0" w:space="0" w:color="auto"/>
          </w:divBdr>
        </w:div>
        <w:div w:id="225993449">
          <w:marLeft w:val="0"/>
          <w:marRight w:val="0"/>
          <w:marTop w:val="0"/>
          <w:marBottom w:val="0"/>
          <w:divBdr>
            <w:top w:val="none" w:sz="0" w:space="0" w:color="auto"/>
            <w:left w:val="none" w:sz="0" w:space="0" w:color="auto"/>
            <w:bottom w:val="none" w:sz="0" w:space="0" w:color="auto"/>
            <w:right w:val="none" w:sz="0" w:space="0" w:color="auto"/>
          </w:divBdr>
        </w:div>
        <w:div w:id="248540187">
          <w:marLeft w:val="0"/>
          <w:marRight w:val="0"/>
          <w:marTop w:val="0"/>
          <w:marBottom w:val="0"/>
          <w:divBdr>
            <w:top w:val="none" w:sz="0" w:space="0" w:color="auto"/>
            <w:left w:val="none" w:sz="0" w:space="0" w:color="auto"/>
            <w:bottom w:val="none" w:sz="0" w:space="0" w:color="auto"/>
            <w:right w:val="none" w:sz="0" w:space="0" w:color="auto"/>
          </w:divBdr>
        </w:div>
        <w:div w:id="397948331">
          <w:marLeft w:val="0"/>
          <w:marRight w:val="0"/>
          <w:marTop w:val="0"/>
          <w:marBottom w:val="0"/>
          <w:divBdr>
            <w:top w:val="none" w:sz="0" w:space="0" w:color="auto"/>
            <w:left w:val="none" w:sz="0" w:space="0" w:color="auto"/>
            <w:bottom w:val="none" w:sz="0" w:space="0" w:color="auto"/>
            <w:right w:val="none" w:sz="0" w:space="0" w:color="auto"/>
          </w:divBdr>
        </w:div>
        <w:div w:id="398136353">
          <w:marLeft w:val="0"/>
          <w:marRight w:val="0"/>
          <w:marTop w:val="0"/>
          <w:marBottom w:val="0"/>
          <w:divBdr>
            <w:top w:val="none" w:sz="0" w:space="0" w:color="auto"/>
            <w:left w:val="none" w:sz="0" w:space="0" w:color="auto"/>
            <w:bottom w:val="none" w:sz="0" w:space="0" w:color="auto"/>
            <w:right w:val="none" w:sz="0" w:space="0" w:color="auto"/>
          </w:divBdr>
        </w:div>
        <w:div w:id="417213582">
          <w:marLeft w:val="0"/>
          <w:marRight w:val="0"/>
          <w:marTop w:val="0"/>
          <w:marBottom w:val="0"/>
          <w:divBdr>
            <w:top w:val="none" w:sz="0" w:space="0" w:color="auto"/>
            <w:left w:val="none" w:sz="0" w:space="0" w:color="auto"/>
            <w:bottom w:val="none" w:sz="0" w:space="0" w:color="auto"/>
            <w:right w:val="none" w:sz="0" w:space="0" w:color="auto"/>
          </w:divBdr>
        </w:div>
        <w:div w:id="425424388">
          <w:marLeft w:val="0"/>
          <w:marRight w:val="0"/>
          <w:marTop w:val="0"/>
          <w:marBottom w:val="0"/>
          <w:divBdr>
            <w:top w:val="none" w:sz="0" w:space="0" w:color="auto"/>
            <w:left w:val="none" w:sz="0" w:space="0" w:color="auto"/>
            <w:bottom w:val="none" w:sz="0" w:space="0" w:color="auto"/>
            <w:right w:val="none" w:sz="0" w:space="0" w:color="auto"/>
          </w:divBdr>
        </w:div>
        <w:div w:id="479536180">
          <w:marLeft w:val="0"/>
          <w:marRight w:val="0"/>
          <w:marTop w:val="0"/>
          <w:marBottom w:val="0"/>
          <w:divBdr>
            <w:top w:val="none" w:sz="0" w:space="0" w:color="auto"/>
            <w:left w:val="none" w:sz="0" w:space="0" w:color="auto"/>
            <w:bottom w:val="none" w:sz="0" w:space="0" w:color="auto"/>
            <w:right w:val="none" w:sz="0" w:space="0" w:color="auto"/>
          </w:divBdr>
        </w:div>
        <w:div w:id="490021939">
          <w:marLeft w:val="0"/>
          <w:marRight w:val="0"/>
          <w:marTop w:val="0"/>
          <w:marBottom w:val="0"/>
          <w:divBdr>
            <w:top w:val="none" w:sz="0" w:space="0" w:color="auto"/>
            <w:left w:val="none" w:sz="0" w:space="0" w:color="auto"/>
            <w:bottom w:val="none" w:sz="0" w:space="0" w:color="auto"/>
            <w:right w:val="none" w:sz="0" w:space="0" w:color="auto"/>
          </w:divBdr>
        </w:div>
        <w:div w:id="501698968">
          <w:marLeft w:val="0"/>
          <w:marRight w:val="0"/>
          <w:marTop w:val="0"/>
          <w:marBottom w:val="0"/>
          <w:divBdr>
            <w:top w:val="none" w:sz="0" w:space="0" w:color="auto"/>
            <w:left w:val="none" w:sz="0" w:space="0" w:color="auto"/>
            <w:bottom w:val="none" w:sz="0" w:space="0" w:color="auto"/>
            <w:right w:val="none" w:sz="0" w:space="0" w:color="auto"/>
          </w:divBdr>
        </w:div>
        <w:div w:id="543827791">
          <w:marLeft w:val="0"/>
          <w:marRight w:val="0"/>
          <w:marTop w:val="0"/>
          <w:marBottom w:val="0"/>
          <w:divBdr>
            <w:top w:val="none" w:sz="0" w:space="0" w:color="auto"/>
            <w:left w:val="none" w:sz="0" w:space="0" w:color="auto"/>
            <w:bottom w:val="none" w:sz="0" w:space="0" w:color="auto"/>
            <w:right w:val="none" w:sz="0" w:space="0" w:color="auto"/>
          </w:divBdr>
        </w:div>
        <w:div w:id="574051822">
          <w:marLeft w:val="0"/>
          <w:marRight w:val="0"/>
          <w:marTop w:val="0"/>
          <w:marBottom w:val="0"/>
          <w:divBdr>
            <w:top w:val="none" w:sz="0" w:space="0" w:color="auto"/>
            <w:left w:val="none" w:sz="0" w:space="0" w:color="auto"/>
            <w:bottom w:val="none" w:sz="0" w:space="0" w:color="auto"/>
            <w:right w:val="none" w:sz="0" w:space="0" w:color="auto"/>
          </w:divBdr>
        </w:div>
        <w:div w:id="590549368">
          <w:marLeft w:val="0"/>
          <w:marRight w:val="0"/>
          <w:marTop w:val="0"/>
          <w:marBottom w:val="0"/>
          <w:divBdr>
            <w:top w:val="none" w:sz="0" w:space="0" w:color="auto"/>
            <w:left w:val="none" w:sz="0" w:space="0" w:color="auto"/>
            <w:bottom w:val="none" w:sz="0" w:space="0" w:color="auto"/>
            <w:right w:val="none" w:sz="0" w:space="0" w:color="auto"/>
          </w:divBdr>
        </w:div>
        <w:div w:id="593560044">
          <w:marLeft w:val="0"/>
          <w:marRight w:val="0"/>
          <w:marTop w:val="0"/>
          <w:marBottom w:val="0"/>
          <w:divBdr>
            <w:top w:val="none" w:sz="0" w:space="0" w:color="auto"/>
            <w:left w:val="none" w:sz="0" w:space="0" w:color="auto"/>
            <w:bottom w:val="none" w:sz="0" w:space="0" w:color="auto"/>
            <w:right w:val="none" w:sz="0" w:space="0" w:color="auto"/>
          </w:divBdr>
        </w:div>
        <w:div w:id="643434555">
          <w:marLeft w:val="0"/>
          <w:marRight w:val="0"/>
          <w:marTop w:val="0"/>
          <w:marBottom w:val="0"/>
          <w:divBdr>
            <w:top w:val="none" w:sz="0" w:space="0" w:color="auto"/>
            <w:left w:val="none" w:sz="0" w:space="0" w:color="auto"/>
            <w:bottom w:val="none" w:sz="0" w:space="0" w:color="auto"/>
            <w:right w:val="none" w:sz="0" w:space="0" w:color="auto"/>
          </w:divBdr>
        </w:div>
        <w:div w:id="651102332">
          <w:marLeft w:val="0"/>
          <w:marRight w:val="0"/>
          <w:marTop w:val="0"/>
          <w:marBottom w:val="0"/>
          <w:divBdr>
            <w:top w:val="none" w:sz="0" w:space="0" w:color="auto"/>
            <w:left w:val="none" w:sz="0" w:space="0" w:color="auto"/>
            <w:bottom w:val="none" w:sz="0" w:space="0" w:color="auto"/>
            <w:right w:val="none" w:sz="0" w:space="0" w:color="auto"/>
          </w:divBdr>
        </w:div>
        <w:div w:id="653804804">
          <w:marLeft w:val="0"/>
          <w:marRight w:val="0"/>
          <w:marTop w:val="0"/>
          <w:marBottom w:val="0"/>
          <w:divBdr>
            <w:top w:val="none" w:sz="0" w:space="0" w:color="auto"/>
            <w:left w:val="none" w:sz="0" w:space="0" w:color="auto"/>
            <w:bottom w:val="none" w:sz="0" w:space="0" w:color="auto"/>
            <w:right w:val="none" w:sz="0" w:space="0" w:color="auto"/>
          </w:divBdr>
        </w:div>
        <w:div w:id="664628465">
          <w:marLeft w:val="0"/>
          <w:marRight w:val="0"/>
          <w:marTop w:val="0"/>
          <w:marBottom w:val="0"/>
          <w:divBdr>
            <w:top w:val="none" w:sz="0" w:space="0" w:color="auto"/>
            <w:left w:val="none" w:sz="0" w:space="0" w:color="auto"/>
            <w:bottom w:val="none" w:sz="0" w:space="0" w:color="auto"/>
            <w:right w:val="none" w:sz="0" w:space="0" w:color="auto"/>
          </w:divBdr>
        </w:div>
        <w:div w:id="727924003">
          <w:marLeft w:val="0"/>
          <w:marRight w:val="0"/>
          <w:marTop w:val="0"/>
          <w:marBottom w:val="0"/>
          <w:divBdr>
            <w:top w:val="none" w:sz="0" w:space="0" w:color="auto"/>
            <w:left w:val="none" w:sz="0" w:space="0" w:color="auto"/>
            <w:bottom w:val="none" w:sz="0" w:space="0" w:color="auto"/>
            <w:right w:val="none" w:sz="0" w:space="0" w:color="auto"/>
          </w:divBdr>
        </w:div>
        <w:div w:id="762533709">
          <w:marLeft w:val="0"/>
          <w:marRight w:val="0"/>
          <w:marTop w:val="0"/>
          <w:marBottom w:val="0"/>
          <w:divBdr>
            <w:top w:val="none" w:sz="0" w:space="0" w:color="auto"/>
            <w:left w:val="none" w:sz="0" w:space="0" w:color="auto"/>
            <w:bottom w:val="none" w:sz="0" w:space="0" w:color="auto"/>
            <w:right w:val="none" w:sz="0" w:space="0" w:color="auto"/>
          </w:divBdr>
        </w:div>
        <w:div w:id="775448522">
          <w:marLeft w:val="0"/>
          <w:marRight w:val="0"/>
          <w:marTop w:val="0"/>
          <w:marBottom w:val="0"/>
          <w:divBdr>
            <w:top w:val="none" w:sz="0" w:space="0" w:color="auto"/>
            <w:left w:val="none" w:sz="0" w:space="0" w:color="auto"/>
            <w:bottom w:val="none" w:sz="0" w:space="0" w:color="auto"/>
            <w:right w:val="none" w:sz="0" w:space="0" w:color="auto"/>
          </w:divBdr>
        </w:div>
        <w:div w:id="807358072">
          <w:marLeft w:val="0"/>
          <w:marRight w:val="0"/>
          <w:marTop w:val="0"/>
          <w:marBottom w:val="0"/>
          <w:divBdr>
            <w:top w:val="none" w:sz="0" w:space="0" w:color="auto"/>
            <w:left w:val="none" w:sz="0" w:space="0" w:color="auto"/>
            <w:bottom w:val="none" w:sz="0" w:space="0" w:color="auto"/>
            <w:right w:val="none" w:sz="0" w:space="0" w:color="auto"/>
          </w:divBdr>
        </w:div>
        <w:div w:id="918366987">
          <w:marLeft w:val="0"/>
          <w:marRight w:val="0"/>
          <w:marTop w:val="0"/>
          <w:marBottom w:val="0"/>
          <w:divBdr>
            <w:top w:val="none" w:sz="0" w:space="0" w:color="auto"/>
            <w:left w:val="none" w:sz="0" w:space="0" w:color="auto"/>
            <w:bottom w:val="none" w:sz="0" w:space="0" w:color="auto"/>
            <w:right w:val="none" w:sz="0" w:space="0" w:color="auto"/>
          </w:divBdr>
        </w:div>
        <w:div w:id="976954786">
          <w:marLeft w:val="0"/>
          <w:marRight w:val="0"/>
          <w:marTop w:val="0"/>
          <w:marBottom w:val="0"/>
          <w:divBdr>
            <w:top w:val="none" w:sz="0" w:space="0" w:color="auto"/>
            <w:left w:val="none" w:sz="0" w:space="0" w:color="auto"/>
            <w:bottom w:val="none" w:sz="0" w:space="0" w:color="auto"/>
            <w:right w:val="none" w:sz="0" w:space="0" w:color="auto"/>
          </w:divBdr>
        </w:div>
        <w:div w:id="981692850">
          <w:marLeft w:val="0"/>
          <w:marRight w:val="0"/>
          <w:marTop w:val="0"/>
          <w:marBottom w:val="0"/>
          <w:divBdr>
            <w:top w:val="none" w:sz="0" w:space="0" w:color="auto"/>
            <w:left w:val="none" w:sz="0" w:space="0" w:color="auto"/>
            <w:bottom w:val="none" w:sz="0" w:space="0" w:color="auto"/>
            <w:right w:val="none" w:sz="0" w:space="0" w:color="auto"/>
          </w:divBdr>
        </w:div>
        <w:div w:id="993142931">
          <w:marLeft w:val="0"/>
          <w:marRight w:val="0"/>
          <w:marTop w:val="0"/>
          <w:marBottom w:val="0"/>
          <w:divBdr>
            <w:top w:val="none" w:sz="0" w:space="0" w:color="auto"/>
            <w:left w:val="none" w:sz="0" w:space="0" w:color="auto"/>
            <w:bottom w:val="none" w:sz="0" w:space="0" w:color="auto"/>
            <w:right w:val="none" w:sz="0" w:space="0" w:color="auto"/>
          </w:divBdr>
        </w:div>
        <w:div w:id="1039085216">
          <w:marLeft w:val="0"/>
          <w:marRight w:val="0"/>
          <w:marTop w:val="0"/>
          <w:marBottom w:val="0"/>
          <w:divBdr>
            <w:top w:val="none" w:sz="0" w:space="0" w:color="auto"/>
            <w:left w:val="none" w:sz="0" w:space="0" w:color="auto"/>
            <w:bottom w:val="none" w:sz="0" w:space="0" w:color="auto"/>
            <w:right w:val="none" w:sz="0" w:space="0" w:color="auto"/>
          </w:divBdr>
        </w:div>
        <w:div w:id="1044136290">
          <w:marLeft w:val="0"/>
          <w:marRight w:val="0"/>
          <w:marTop w:val="0"/>
          <w:marBottom w:val="0"/>
          <w:divBdr>
            <w:top w:val="none" w:sz="0" w:space="0" w:color="auto"/>
            <w:left w:val="none" w:sz="0" w:space="0" w:color="auto"/>
            <w:bottom w:val="none" w:sz="0" w:space="0" w:color="auto"/>
            <w:right w:val="none" w:sz="0" w:space="0" w:color="auto"/>
          </w:divBdr>
        </w:div>
        <w:div w:id="1050810035">
          <w:marLeft w:val="0"/>
          <w:marRight w:val="0"/>
          <w:marTop w:val="0"/>
          <w:marBottom w:val="0"/>
          <w:divBdr>
            <w:top w:val="none" w:sz="0" w:space="0" w:color="auto"/>
            <w:left w:val="none" w:sz="0" w:space="0" w:color="auto"/>
            <w:bottom w:val="none" w:sz="0" w:space="0" w:color="auto"/>
            <w:right w:val="none" w:sz="0" w:space="0" w:color="auto"/>
          </w:divBdr>
        </w:div>
        <w:div w:id="1159926358">
          <w:marLeft w:val="0"/>
          <w:marRight w:val="0"/>
          <w:marTop w:val="0"/>
          <w:marBottom w:val="0"/>
          <w:divBdr>
            <w:top w:val="none" w:sz="0" w:space="0" w:color="auto"/>
            <w:left w:val="none" w:sz="0" w:space="0" w:color="auto"/>
            <w:bottom w:val="none" w:sz="0" w:space="0" w:color="auto"/>
            <w:right w:val="none" w:sz="0" w:space="0" w:color="auto"/>
          </w:divBdr>
        </w:div>
        <w:div w:id="1170680777">
          <w:marLeft w:val="0"/>
          <w:marRight w:val="0"/>
          <w:marTop w:val="0"/>
          <w:marBottom w:val="0"/>
          <w:divBdr>
            <w:top w:val="none" w:sz="0" w:space="0" w:color="auto"/>
            <w:left w:val="none" w:sz="0" w:space="0" w:color="auto"/>
            <w:bottom w:val="none" w:sz="0" w:space="0" w:color="auto"/>
            <w:right w:val="none" w:sz="0" w:space="0" w:color="auto"/>
          </w:divBdr>
        </w:div>
        <w:div w:id="1174564240">
          <w:marLeft w:val="0"/>
          <w:marRight w:val="0"/>
          <w:marTop w:val="0"/>
          <w:marBottom w:val="0"/>
          <w:divBdr>
            <w:top w:val="none" w:sz="0" w:space="0" w:color="auto"/>
            <w:left w:val="none" w:sz="0" w:space="0" w:color="auto"/>
            <w:bottom w:val="none" w:sz="0" w:space="0" w:color="auto"/>
            <w:right w:val="none" w:sz="0" w:space="0" w:color="auto"/>
          </w:divBdr>
        </w:div>
        <w:div w:id="1204294443">
          <w:marLeft w:val="0"/>
          <w:marRight w:val="0"/>
          <w:marTop w:val="0"/>
          <w:marBottom w:val="0"/>
          <w:divBdr>
            <w:top w:val="none" w:sz="0" w:space="0" w:color="auto"/>
            <w:left w:val="none" w:sz="0" w:space="0" w:color="auto"/>
            <w:bottom w:val="none" w:sz="0" w:space="0" w:color="auto"/>
            <w:right w:val="none" w:sz="0" w:space="0" w:color="auto"/>
          </w:divBdr>
        </w:div>
        <w:div w:id="1237858240">
          <w:marLeft w:val="0"/>
          <w:marRight w:val="0"/>
          <w:marTop w:val="0"/>
          <w:marBottom w:val="0"/>
          <w:divBdr>
            <w:top w:val="none" w:sz="0" w:space="0" w:color="auto"/>
            <w:left w:val="none" w:sz="0" w:space="0" w:color="auto"/>
            <w:bottom w:val="none" w:sz="0" w:space="0" w:color="auto"/>
            <w:right w:val="none" w:sz="0" w:space="0" w:color="auto"/>
          </w:divBdr>
        </w:div>
        <w:div w:id="1252348399">
          <w:marLeft w:val="0"/>
          <w:marRight w:val="0"/>
          <w:marTop w:val="0"/>
          <w:marBottom w:val="0"/>
          <w:divBdr>
            <w:top w:val="none" w:sz="0" w:space="0" w:color="auto"/>
            <w:left w:val="none" w:sz="0" w:space="0" w:color="auto"/>
            <w:bottom w:val="none" w:sz="0" w:space="0" w:color="auto"/>
            <w:right w:val="none" w:sz="0" w:space="0" w:color="auto"/>
          </w:divBdr>
        </w:div>
        <w:div w:id="1266502951">
          <w:marLeft w:val="0"/>
          <w:marRight w:val="0"/>
          <w:marTop w:val="0"/>
          <w:marBottom w:val="0"/>
          <w:divBdr>
            <w:top w:val="none" w:sz="0" w:space="0" w:color="auto"/>
            <w:left w:val="none" w:sz="0" w:space="0" w:color="auto"/>
            <w:bottom w:val="none" w:sz="0" w:space="0" w:color="auto"/>
            <w:right w:val="none" w:sz="0" w:space="0" w:color="auto"/>
          </w:divBdr>
        </w:div>
        <w:div w:id="1345206036">
          <w:marLeft w:val="0"/>
          <w:marRight w:val="0"/>
          <w:marTop w:val="0"/>
          <w:marBottom w:val="0"/>
          <w:divBdr>
            <w:top w:val="none" w:sz="0" w:space="0" w:color="auto"/>
            <w:left w:val="none" w:sz="0" w:space="0" w:color="auto"/>
            <w:bottom w:val="none" w:sz="0" w:space="0" w:color="auto"/>
            <w:right w:val="none" w:sz="0" w:space="0" w:color="auto"/>
          </w:divBdr>
        </w:div>
        <w:div w:id="1351024882">
          <w:marLeft w:val="0"/>
          <w:marRight w:val="0"/>
          <w:marTop w:val="0"/>
          <w:marBottom w:val="0"/>
          <w:divBdr>
            <w:top w:val="none" w:sz="0" w:space="0" w:color="auto"/>
            <w:left w:val="none" w:sz="0" w:space="0" w:color="auto"/>
            <w:bottom w:val="none" w:sz="0" w:space="0" w:color="auto"/>
            <w:right w:val="none" w:sz="0" w:space="0" w:color="auto"/>
          </w:divBdr>
        </w:div>
        <w:div w:id="1358775803">
          <w:marLeft w:val="0"/>
          <w:marRight w:val="0"/>
          <w:marTop w:val="0"/>
          <w:marBottom w:val="0"/>
          <w:divBdr>
            <w:top w:val="none" w:sz="0" w:space="0" w:color="auto"/>
            <w:left w:val="none" w:sz="0" w:space="0" w:color="auto"/>
            <w:bottom w:val="none" w:sz="0" w:space="0" w:color="auto"/>
            <w:right w:val="none" w:sz="0" w:space="0" w:color="auto"/>
          </w:divBdr>
        </w:div>
        <w:div w:id="1401253329">
          <w:marLeft w:val="0"/>
          <w:marRight w:val="0"/>
          <w:marTop w:val="0"/>
          <w:marBottom w:val="0"/>
          <w:divBdr>
            <w:top w:val="none" w:sz="0" w:space="0" w:color="auto"/>
            <w:left w:val="none" w:sz="0" w:space="0" w:color="auto"/>
            <w:bottom w:val="none" w:sz="0" w:space="0" w:color="auto"/>
            <w:right w:val="none" w:sz="0" w:space="0" w:color="auto"/>
          </w:divBdr>
        </w:div>
        <w:div w:id="1432622872">
          <w:marLeft w:val="0"/>
          <w:marRight w:val="0"/>
          <w:marTop w:val="0"/>
          <w:marBottom w:val="0"/>
          <w:divBdr>
            <w:top w:val="none" w:sz="0" w:space="0" w:color="auto"/>
            <w:left w:val="none" w:sz="0" w:space="0" w:color="auto"/>
            <w:bottom w:val="none" w:sz="0" w:space="0" w:color="auto"/>
            <w:right w:val="none" w:sz="0" w:space="0" w:color="auto"/>
          </w:divBdr>
        </w:div>
        <w:div w:id="1442914934">
          <w:marLeft w:val="0"/>
          <w:marRight w:val="0"/>
          <w:marTop w:val="0"/>
          <w:marBottom w:val="0"/>
          <w:divBdr>
            <w:top w:val="none" w:sz="0" w:space="0" w:color="auto"/>
            <w:left w:val="none" w:sz="0" w:space="0" w:color="auto"/>
            <w:bottom w:val="none" w:sz="0" w:space="0" w:color="auto"/>
            <w:right w:val="none" w:sz="0" w:space="0" w:color="auto"/>
          </w:divBdr>
        </w:div>
        <w:div w:id="1483615351">
          <w:marLeft w:val="0"/>
          <w:marRight w:val="0"/>
          <w:marTop w:val="0"/>
          <w:marBottom w:val="0"/>
          <w:divBdr>
            <w:top w:val="none" w:sz="0" w:space="0" w:color="auto"/>
            <w:left w:val="none" w:sz="0" w:space="0" w:color="auto"/>
            <w:bottom w:val="none" w:sz="0" w:space="0" w:color="auto"/>
            <w:right w:val="none" w:sz="0" w:space="0" w:color="auto"/>
          </w:divBdr>
        </w:div>
        <w:div w:id="1498156074">
          <w:marLeft w:val="0"/>
          <w:marRight w:val="0"/>
          <w:marTop w:val="0"/>
          <w:marBottom w:val="0"/>
          <w:divBdr>
            <w:top w:val="none" w:sz="0" w:space="0" w:color="auto"/>
            <w:left w:val="none" w:sz="0" w:space="0" w:color="auto"/>
            <w:bottom w:val="none" w:sz="0" w:space="0" w:color="auto"/>
            <w:right w:val="none" w:sz="0" w:space="0" w:color="auto"/>
          </w:divBdr>
        </w:div>
        <w:div w:id="1506823047">
          <w:marLeft w:val="0"/>
          <w:marRight w:val="0"/>
          <w:marTop w:val="0"/>
          <w:marBottom w:val="0"/>
          <w:divBdr>
            <w:top w:val="none" w:sz="0" w:space="0" w:color="auto"/>
            <w:left w:val="none" w:sz="0" w:space="0" w:color="auto"/>
            <w:bottom w:val="none" w:sz="0" w:space="0" w:color="auto"/>
            <w:right w:val="none" w:sz="0" w:space="0" w:color="auto"/>
          </w:divBdr>
        </w:div>
        <w:div w:id="1518735258">
          <w:marLeft w:val="0"/>
          <w:marRight w:val="0"/>
          <w:marTop w:val="0"/>
          <w:marBottom w:val="0"/>
          <w:divBdr>
            <w:top w:val="none" w:sz="0" w:space="0" w:color="auto"/>
            <w:left w:val="none" w:sz="0" w:space="0" w:color="auto"/>
            <w:bottom w:val="none" w:sz="0" w:space="0" w:color="auto"/>
            <w:right w:val="none" w:sz="0" w:space="0" w:color="auto"/>
          </w:divBdr>
        </w:div>
        <w:div w:id="1566988495">
          <w:marLeft w:val="0"/>
          <w:marRight w:val="0"/>
          <w:marTop w:val="0"/>
          <w:marBottom w:val="0"/>
          <w:divBdr>
            <w:top w:val="none" w:sz="0" w:space="0" w:color="auto"/>
            <w:left w:val="none" w:sz="0" w:space="0" w:color="auto"/>
            <w:bottom w:val="none" w:sz="0" w:space="0" w:color="auto"/>
            <w:right w:val="none" w:sz="0" w:space="0" w:color="auto"/>
          </w:divBdr>
        </w:div>
        <w:div w:id="1580284917">
          <w:marLeft w:val="0"/>
          <w:marRight w:val="0"/>
          <w:marTop w:val="0"/>
          <w:marBottom w:val="0"/>
          <w:divBdr>
            <w:top w:val="none" w:sz="0" w:space="0" w:color="auto"/>
            <w:left w:val="none" w:sz="0" w:space="0" w:color="auto"/>
            <w:bottom w:val="none" w:sz="0" w:space="0" w:color="auto"/>
            <w:right w:val="none" w:sz="0" w:space="0" w:color="auto"/>
          </w:divBdr>
        </w:div>
        <w:div w:id="1606034180">
          <w:marLeft w:val="0"/>
          <w:marRight w:val="0"/>
          <w:marTop w:val="0"/>
          <w:marBottom w:val="0"/>
          <w:divBdr>
            <w:top w:val="none" w:sz="0" w:space="0" w:color="auto"/>
            <w:left w:val="none" w:sz="0" w:space="0" w:color="auto"/>
            <w:bottom w:val="none" w:sz="0" w:space="0" w:color="auto"/>
            <w:right w:val="none" w:sz="0" w:space="0" w:color="auto"/>
          </w:divBdr>
        </w:div>
        <w:div w:id="1650285101">
          <w:marLeft w:val="0"/>
          <w:marRight w:val="0"/>
          <w:marTop w:val="0"/>
          <w:marBottom w:val="0"/>
          <w:divBdr>
            <w:top w:val="none" w:sz="0" w:space="0" w:color="auto"/>
            <w:left w:val="none" w:sz="0" w:space="0" w:color="auto"/>
            <w:bottom w:val="none" w:sz="0" w:space="0" w:color="auto"/>
            <w:right w:val="none" w:sz="0" w:space="0" w:color="auto"/>
          </w:divBdr>
        </w:div>
        <w:div w:id="1673410147">
          <w:marLeft w:val="0"/>
          <w:marRight w:val="0"/>
          <w:marTop w:val="0"/>
          <w:marBottom w:val="0"/>
          <w:divBdr>
            <w:top w:val="none" w:sz="0" w:space="0" w:color="auto"/>
            <w:left w:val="none" w:sz="0" w:space="0" w:color="auto"/>
            <w:bottom w:val="none" w:sz="0" w:space="0" w:color="auto"/>
            <w:right w:val="none" w:sz="0" w:space="0" w:color="auto"/>
          </w:divBdr>
        </w:div>
        <w:div w:id="1684933093">
          <w:marLeft w:val="0"/>
          <w:marRight w:val="0"/>
          <w:marTop w:val="0"/>
          <w:marBottom w:val="0"/>
          <w:divBdr>
            <w:top w:val="none" w:sz="0" w:space="0" w:color="auto"/>
            <w:left w:val="none" w:sz="0" w:space="0" w:color="auto"/>
            <w:bottom w:val="none" w:sz="0" w:space="0" w:color="auto"/>
            <w:right w:val="none" w:sz="0" w:space="0" w:color="auto"/>
          </w:divBdr>
        </w:div>
        <w:div w:id="1762675663">
          <w:marLeft w:val="0"/>
          <w:marRight w:val="0"/>
          <w:marTop w:val="0"/>
          <w:marBottom w:val="0"/>
          <w:divBdr>
            <w:top w:val="none" w:sz="0" w:space="0" w:color="auto"/>
            <w:left w:val="none" w:sz="0" w:space="0" w:color="auto"/>
            <w:bottom w:val="none" w:sz="0" w:space="0" w:color="auto"/>
            <w:right w:val="none" w:sz="0" w:space="0" w:color="auto"/>
          </w:divBdr>
        </w:div>
        <w:div w:id="1781224129">
          <w:marLeft w:val="0"/>
          <w:marRight w:val="0"/>
          <w:marTop w:val="0"/>
          <w:marBottom w:val="0"/>
          <w:divBdr>
            <w:top w:val="none" w:sz="0" w:space="0" w:color="auto"/>
            <w:left w:val="none" w:sz="0" w:space="0" w:color="auto"/>
            <w:bottom w:val="none" w:sz="0" w:space="0" w:color="auto"/>
            <w:right w:val="none" w:sz="0" w:space="0" w:color="auto"/>
          </w:divBdr>
        </w:div>
        <w:div w:id="1825274797">
          <w:marLeft w:val="0"/>
          <w:marRight w:val="0"/>
          <w:marTop w:val="0"/>
          <w:marBottom w:val="0"/>
          <w:divBdr>
            <w:top w:val="none" w:sz="0" w:space="0" w:color="auto"/>
            <w:left w:val="none" w:sz="0" w:space="0" w:color="auto"/>
            <w:bottom w:val="none" w:sz="0" w:space="0" w:color="auto"/>
            <w:right w:val="none" w:sz="0" w:space="0" w:color="auto"/>
          </w:divBdr>
        </w:div>
        <w:div w:id="1828593738">
          <w:marLeft w:val="0"/>
          <w:marRight w:val="0"/>
          <w:marTop w:val="0"/>
          <w:marBottom w:val="0"/>
          <w:divBdr>
            <w:top w:val="none" w:sz="0" w:space="0" w:color="auto"/>
            <w:left w:val="none" w:sz="0" w:space="0" w:color="auto"/>
            <w:bottom w:val="none" w:sz="0" w:space="0" w:color="auto"/>
            <w:right w:val="none" w:sz="0" w:space="0" w:color="auto"/>
          </w:divBdr>
        </w:div>
        <w:div w:id="1833519459">
          <w:marLeft w:val="0"/>
          <w:marRight w:val="0"/>
          <w:marTop w:val="0"/>
          <w:marBottom w:val="0"/>
          <w:divBdr>
            <w:top w:val="none" w:sz="0" w:space="0" w:color="auto"/>
            <w:left w:val="none" w:sz="0" w:space="0" w:color="auto"/>
            <w:bottom w:val="none" w:sz="0" w:space="0" w:color="auto"/>
            <w:right w:val="none" w:sz="0" w:space="0" w:color="auto"/>
          </w:divBdr>
        </w:div>
        <w:div w:id="1903516353">
          <w:marLeft w:val="0"/>
          <w:marRight w:val="0"/>
          <w:marTop w:val="0"/>
          <w:marBottom w:val="0"/>
          <w:divBdr>
            <w:top w:val="none" w:sz="0" w:space="0" w:color="auto"/>
            <w:left w:val="none" w:sz="0" w:space="0" w:color="auto"/>
            <w:bottom w:val="none" w:sz="0" w:space="0" w:color="auto"/>
            <w:right w:val="none" w:sz="0" w:space="0" w:color="auto"/>
          </w:divBdr>
        </w:div>
        <w:div w:id="1904023300">
          <w:marLeft w:val="0"/>
          <w:marRight w:val="0"/>
          <w:marTop w:val="0"/>
          <w:marBottom w:val="0"/>
          <w:divBdr>
            <w:top w:val="none" w:sz="0" w:space="0" w:color="auto"/>
            <w:left w:val="none" w:sz="0" w:space="0" w:color="auto"/>
            <w:bottom w:val="none" w:sz="0" w:space="0" w:color="auto"/>
            <w:right w:val="none" w:sz="0" w:space="0" w:color="auto"/>
          </w:divBdr>
        </w:div>
        <w:div w:id="1920283064">
          <w:marLeft w:val="0"/>
          <w:marRight w:val="0"/>
          <w:marTop w:val="0"/>
          <w:marBottom w:val="0"/>
          <w:divBdr>
            <w:top w:val="none" w:sz="0" w:space="0" w:color="auto"/>
            <w:left w:val="none" w:sz="0" w:space="0" w:color="auto"/>
            <w:bottom w:val="none" w:sz="0" w:space="0" w:color="auto"/>
            <w:right w:val="none" w:sz="0" w:space="0" w:color="auto"/>
          </w:divBdr>
        </w:div>
        <w:div w:id="1943951179">
          <w:marLeft w:val="0"/>
          <w:marRight w:val="0"/>
          <w:marTop w:val="0"/>
          <w:marBottom w:val="0"/>
          <w:divBdr>
            <w:top w:val="none" w:sz="0" w:space="0" w:color="auto"/>
            <w:left w:val="none" w:sz="0" w:space="0" w:color="auto"/>
            <w:bottom w:val="none" w:sz="0" w:space="0" w:color="auto"/>
            <w:right w:val="none" w:sz="0" w:space="0" w:color="auto"/>
          </w:divBdr>
        </w:div>
        <w:div w:id="2026707735">
          <w:marLeft w:val="0"/>
          <w:marRight w:val="0"/>
          <w:marTop w:val="0"/>
          <w:marBottom w:val="0"/>
          <w:divBdr>
            <w:top w:val="none" w:sz="0" w:space="0" w:color="auto"/>
            <w:left w:val="none" w:sz="0" w:space="0" w:color="auto"/>
            <w:bottom w:val="none" w:sz="0" w:space="0" w:color="auto"/>
            <w:right w:val="none" w:sz="0" w:space="0" w:color="auto"/>
          </w:divBdr>
        </w:div>
        <w:div w:id="2042825149">
          <w:marLeft w:val="0"/>
          <w:marRight w:val="0"/>
          <w:marTop w:val="0"/>
          <w:marBottom w:val="0"/>
          <w:divBdr>
            <w:top w:val="none" w:sz="0" w:space="0" w:color="auto"/>
            <w:left w:val="none" w:sz="0" w:space="0" w:color="auto"/>
            <w:bottom w:val="none" w:sz="0" w:space="0" w:color="auto"/>
            <w:right w:val="none" w:sz="0" w:space="0" w:color="auto"/>
          </w:divBdr>
        </w:div>
        <w:div w:id="2057851900">
          <w:marLeft w:val="0"/>
          <w:marRight w:val="0"/>
          <w:marTop w:val="0"/>
          <w:marBottom w:val="0"/>
          <w:divBdr>
            <w:top w:val="none" w:sz="0" w:space="0" w:color="auto"/>
            <w:left w:val="none" w:sz="0" w:space="0" w:color="auto"/>
            <w:bottom w:val="none" w:sz="0" w:space="0" w:color="auto"/>
            <w:right w:val="none" w:sz="0" w:space="0" w:color="auto"/>
          </w:divBdr>
        </w:div>
        <w:div w:id="2070573117">
          <w:marLeft w:val="0"/>
          <w:marRight w:val="0"/>
          <w:marTop w:val="0"/>
          <w:marBottom w:val="0"/>
          <w:divBdr>
            <w:top w:val="none" w:sz="0" w:space="0" w:color="auto"/>
            <w:left w:val="none" w:sz="0" w:space="0" w:color="auto"/>
            <w:bottom w:val="none" w:sz="0" w:space="0" w:color="auto"/>
            <w:right w:val="none" w:sz="0" w:space="0" w:color="auto"/>
          </w:divBdr>
        </w:div>
        <w:div w:id="2077588254">
          <w:marLeft w:val="0"/>
          <w:marRight w:val="0"/>
          <w:marTop w:val="0"/>
          <w:marBottom w:val="0"/>
          <w:divBdr>
            <w:top w:val="none" w:sz="0" w:space="0" w:color="auto"/>
            <w:left w:val="none" w:sz="0" w:space="0" w:color="auto"/>
            <w:bottom w:val="none" w:sz="0" w:space="0" w:color="auto"/>
            <w:right w:val="none" w:sz="0" w:space="0" w:color="auto"/>
          </w:divBdr>
        </w:div>
        <w:div w:id="2085639580">
          <w:marLeft w:val="0"/>
          <w:marRight w:val="0"/>
          <w:marTop w:val="0"/>
          <w:marBottom w:val="0"/>
          <w:divBdr>
            <w:top w:val="none" w:sz="0" w:space="0" w:color="auto"/>
            <w:left w:val="none" w:sz="0" w:space="0" w:color="auto"/>
            <w:bottom w:val="none" w:sz="0" w:space="0" w:color="auto"/>
            <w:right w:val="none" w:sz="0" w:space="0" w:color="auto"/>
          </w:divBdr>
        </w:div>
        <w:div w:id="2126730016">
          <w:marLeft w:val="0"/>
          <w:marRight w:val="0"/>
          <w:marTop w:val="0"/>
          <w:marBottom w:val="0"/>
          <w:divBdr>
            <w:top w:val="none" w:sz="0" w:space="0" w:color="auto"/>
            <w:left w:val="none" w:sz="0" w:space="0" w:color="auto"/>
            <w:bottom w:val="none" w:sz="0" w:space="0" w:color="auto"/>
            <w:right w:val="none" w:sz="0" w:space="0" w:color="auto"/>
          </w:divBdr>
        </w:div>
      </w:divsChild>
    </w:div>
    <w:div w:id="1227915152">
      <w:bodyDiv w:val="1"/>
      <w:marLeft w:val="0"/>
      <w:marRight w:val="0"/>
      <w:marTop w:val="0"/>
      <w:marBottom w:val="0"/>
      <w:divBdr>
        <w:top w:val="none" w:sz="0" w:space="0" w:color="auto"/>
        <w:left w:val="none" w:sz="0" w:space="0" w:color="auto"/>
        <w:bottom w:val="none" w:sz="0" w:space="0" w:color="auto"/>
        <w:right w:val="none" w:sz="0" w:space="0" w:color="auto"/>
      </w:divBdr>
    </w:div>
    <w:div w:id="1231773599">
      <w:bodyDiv w:val="1"/>
      <w:marLeft w:val="0"/>
      <w:marRight w:val="0"/>
      <w:marTop w:val="0"/>
      <w:marBottom w:val="0"/>
      <w:divBdr>
        <w:top w:val="none" w:sz="0" w:space="0" w:color="auto"/>
        <w:left w:val="none" w:sz="0" w:space="0" w:color="auto"/>
        <w:bottom w:val="none" w:sz="0" w:space="0" w:color="auto"/>
        <w:right w:val="none" w:sz="0" w:space="0" w:color="auto"/>
      </w:divBdr>
    </w:div>
    <w:div w:id="1281650678">
      <w:bodyDiv w:val="1"/>
      <w:marLeft w:val="0"/>
      <w:marRight w:val="0"/>
      <w:marTop w:val="0"/>
      <w:marBottom w:val="0"/>
      <w:divBdr>
        <w:top w:val="none" w:sz="0" w:space="0" w:color="auto"/>
        <w:left w:val="none" w:sz="0" w:space="0" w:color="auto"/>
        <w:bottom w:val="none" w:sz="0" w:space="0" w:color="auto"/>
        <w:right w:val="none" w:sz="0" w:space="0" w:color="auto"/>
      </w:divBdr>
      <w:divsChild>
        <w:div w:id="15549530">
          <w:marLeft w:val="480"/>
          <w:marRight w:val="0"/>
          <w:marTop w:val="0"/>
          <w:marBottom w:val="0"/>
          <w:divBdr>
            <w:top w:val="none" w:sz="0" w:space="0" w:color="auto"/>
            <w:left w:val="none" w:sz="0" w:space="0" w:color="auto"/>
            <w:bottom w:val="none" w:sz="0" w:space="0" w:color="auto"/>
            <w:right w:val="none" w:sz="0" w:space="0" w:color="auto"/>
          </w:divBdr>
          <w:divsChild>
            <w:div w:id="13711468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1570060">
      <w:bodyDiv w:val="1"/>
      <w:marLeft w:val="0"/>
      <w:marRight w:val="0"/>
      <w:marTop w:val="0"/>
      <w:marBottom w:val="0"/>
      <w:divBdr>
        <w:top w:val="none" w:sz="0" w:space="0" w:color="auto"/>
        <w:left w:val="none" w:sz="0" w:space="0" w:color="auto"/>
        <w:bottom w:val="none" w:sz="0" w:space="0" w:color="auto"/>
        <w:right w:val="none" w:sz="0" w:space="0" w:color="auto"/>
      </w:divBdr>
    </w:div>
    <w:div w:id="1309751287">
      <w:bodyDiv w:val="1"/>
      <w:marLeft w:val="0"/>
      <w:marRight w:val="0"/>
      <w:marTop w:val="0"/>
      <w:marBottom w:val="0"/>
      <w:divBdr>
        <w:top w:val="none" w:sz="0" w:space="0" w:color="auto"/>
        <w:left w:val="none" w:sz="0" w:space="0" w:color="auto"/>
        <w:bottom w:val="none" w:sz="0" w:space="0" w:color="auto"/>
        <w:right w:val="none" w:sz="0" w:space="0" w:color="auto"/>
      </w:divBdr>
    </w:div>
    <w:div w:id="1392192632">
      <w:bodyDiv w:val="1"/>
      <w:marLeft w:val="0"/>
      <w:marRight w:val="0"/>
      <w:marTop w:val="0"/>
      <w:marBottom w:val="0"/>
      <w:divBdr>
        <w:top w:val="none" w:sz="0" w:space="0" w:color="auto"/>
        <w:left w:val="none" w:sz="0" w:space="0" w:color="auto"/>
        <w:bottom w:val="none" w:sz="0" w:space="0" w:color="auto"/>
        <w:right w:val="none" w:sz="0" w:space="0" w:color="auto"/>
      </w:divBdr>
      <w:divsChild>
        <w:div w:id="1811480801">
          <w:marLeft w:val="480"/>
          <w:marRight w:val="0"/>
          <w:marTop w:val="0"/>
          <w:marBottom w:val="0"/>
          <w:divBdr>
            <w:top w:val="none" w:sz="0" w:space="0" w:color="auto"/>
            <w:left w:val="none" w:sz="0" w:space="0" w:color="auto"/>
            <w:bottom w:val="none" w:sz="0" w:space="0" w:color="auto"/>
            <w:right w:val="none" w:sz="0" w:space="0" w:color="auto"/>
          </w:divBdr>
          <w:divsChild>
            <w:div w:id="19705456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4235591">
      <w:bodyDiv w:val="1"/>
      <w:marLeft w:val="0"/>
      <w:marRight w:val="0"/>
      <w:marTop w:val="0"/>
      <w:marBottom w:val="0"/>
      <w:divBdr>
        <w:top w:val="none" w:sz="0" w:space="0" w:color="auto"/>
        <w:left w:val="none" w:sz="0" w:space="0" w:color="auto"/>
        <w:bottom w:val="none" w:sz="0" w:space="0" w:color="auto"/>
        <w:right w:val="none" w:sz="0" w:space="0" w:color="auto"/>
      </w:divBdr>
    </w:div>
    <w:div w:id="1436294079">
      <w:bodyDiv w:val="1"/>
      <w:marLeft w:val="0"/>
      <w:marRight w:val="0"/>
      <w:marTop w:val="0"/>
      <w:marBottom w:val="0"/>
      <w:divBdr>
        <w:top w:val="none" w:sz="0" w:space="0" w:color="auto"/>
        <w:left w:val="none" w:sz="0" w:space="0" w:color="auto"/>
        <w:bottom w:val="none" w:sz="0" w:space="0" w:color="auto"/>
        <w:right w:val="none" w:sz="0" w:space="0" w:color="auto"/>
      </w:divBdr>
      <w:divsChild>
        <w:div w:id="761223577">
          <w:marLeft w:val="547"/>
          <w:marRight w:val="0"/>
          <w:marTop w:val="134"/>
          <w:marBottom w:val="0"/>
          <w:divBdr>
            <w:top w:val="none" w:sz="0" w:space="0" w:color="auto"/>
            <w:left w:val="none" w:sz="0" w:space="0" w:color="auto"/>
            <w:bottom w:val="none" w:sz="0" w:space="0" w:color="auto"/>
            <w:right w:val="none" w:sz="0" w:space="0" w:color="auto"/>
          </w:divBdr>
        </w:div>
        <w:div w:id="965811520">
          <w:marLeft w:val="547"/>
          <w:marRight w:val="0"/>
          <w:marTop w:val="134"/>
          <w:marBottom w:val="0"/>
          <w:divBdr>
            <w:top w:val="none" w:sz="0" w:space="0" w:color="auto"/>
            <w:left w:val="none" w:sz="0" w:space="0" w:color="auto"/>
            <w:bottom w:val="none" w:sz="0" w:space="0" w:color="auto"/>
            <w:right w:val="none" w:sz="0" w:space="0" w:color="auto"/>
          </w:divBdr>
        </w:div>
        <w:div w:id="1372682603">
          <w:marLeft w:val="547"/>
          <w:marRight w:val="0"/>
          <w:marTop w:val="134"/>
          <w:marBottom w:val="0"/>
          <w:divBdr>
            <w:top w:val="none" w:sz="0" w:space="0" w:color="auto"/>
            <w:left w:val="none" w:sz="0" w:space="0" w:color="auto"/>
            <w:bottom w:val="none" w:sz="0" w:space="0" w:color="auto"/>
            <w:right w:val="none" w:sz="0" w:space="0" w:color="auto"/>
          </w:divBdr>
        </w:div>
      </w:divsChild>
    </w:div>
    <w:div w:id="1443265748">
      <w:bodyDiv w:val="1"/>
      <w:marLeft w:val="0"/>
      <w:marRight w:val="0"/>
      <w:marTop w:val="0"/>
      <w:marBottom w:val="0"/>
      <w:divBdr>
        <w:top w:val="none" w:sz="0" w:space="0" w:color="auto"/>
        <w:left w:val="none" w:sz="0" w:space="0" w:color="auto"/>
        <w:bottom w:val="none" w:sz="0" w:space="0" w:color="auto"/>
        <w:right w:val="none" w:sz="0" w:space="0" w:color="auto"/>
      </w:divBdr>
    </w:div>
    <w:div w:id="1451703367">
      <w:bodyDiv w:val="1"/>
      <w:marLeft w:val="0"/>
      <w:marRight w:val="0"/>
      <w:marTop w:val="0"/>
      <w:marBottom w:val="0"/>
      <w:divBdr>
        <w:top w:val="none" w:sz="0" w:space="0" w:color="auto"/>
        <w:left w:val="none" w:sz="0" w:space="0" w:color="auto"/>
        <w:bottom w:val="none" w:sz="0" w:space="0" w:color="auto"/>
        <w:right w:val="none" w:sz="0" w:space="0" w:color="auto"/>
      </w:divBdr>
    </w:div>
    <w:div w:id="1488474232">
      <w:bodyDiv w:val="1"/>
      <w:marLeft w:val="0"/>
      <w:marRight w:val="0"/>
      <w:marTop w:val="0"/>
      <w:marBottom w:val="0"/>
      <w:divBdr>
        <w:top w:val="none" w:sz="0" w:space="0" w:color="auto"/>
        <w:left w:val="none" w:sz="0" w:space="0" w:color="auto"/>
        <w:bottom w:val="none" w:sz="0" w:space="0" w:color="auto"/>
        <w:right w:val="none" w:sz="0" w:space="0" w:color="auto"/>
      </w:divBdr>
    </w:div>
    <w:div w:id="1494490127">
      <w:bodyDiv w:val="1"/>
      <w:marLeft w:val="0"/>
      <w:marRight w:val="0"/>
      <w:marTop w:val="0"/>
      <w:marBottom w:val="0"/>
      <w:divBdr>
        <w:top w:val="none" w:sz="0" w:space="0" w:color="auto"/>
        <w:left w:val="none" w:sz="0" w:space="0" w:color="auto"/>
        <w:bottom w:val="none" w:sz="0" w:space="0" w:color="auto"/>
        <w:right w:val="none" w:sz="0" w:space="0" w:color="auto"/>
      </w:divBdr>
      <w:divsChild>
        <w:div w:id="1164861635">
          <w:marLeft w:val="547"/>
          <w:marRight w:val="0"/>
          <w:marTop w:val="144"/>
          <w:marBottom w:val="0"/>
          <w:divBdr>
            <w:top w:val="none" w:sz="0" w:space="0" w:color="auto"/>
            <w:left w:val="none" w:sz="0" w:space="0" w:color="auto"/>
            <w:bottom w:val="none" w:sz="0" w:space="0" w:color="auto"/>
            <w:right w:val="none" w:sz="0" w:space="0" w:color="auto"/>
          </w:divBdr>
        </w:div>
        <w:div w:id="1332760534">
          <w:marLeft w:val="547"/>
          <w:marRight w:val="0"/>
          <w:marTop w:val="144"/>
          <w:marBottom w:val="0"/>
          <w:divBdr>
            <w:top w:val="none" w:sz="0" w:space="0" w:color="auto"/>
            <w:left w:val="none" w:sz="0" w:space="0" w:color="auto"/>
            <w:bottom w:val="none" w:sz="0" w:space="0" w:color="auto"/>
            <w:right w:val="none" w:sz="0" w:space="0" w:color="auto"/>
          </w:divBdr>
        </w:div>
      </w:divsChild>
    </w:div>
    <w:div w:id="1537430609">
      <w:bodyDiv w:val="1"/>
      <w:marLeft w:val="0"/>
      <w:marRight w:val="0"/>
      <w:marTop w:val="0"/>
      <w:marBottom w:val="0"/>
      <w:divBdr>
        <w:top w:val="none" w:sz="0" w:space="0" w:color="auto"/>
        <w:left w:val="none" w:sz="0" w:space="0" w:color="auto"/>
        <w:bottom w:val="none" w:sz="0" w:space="0" w:color="auto"/>
        <w:right w:val="none" w:sz="0" w:space="0" w:color="auto"/>
      </w:divBdr>
    </w:div>
    <w:div w:id="1578518264">
      <w:bodyDiv w:val="1"/>
      <w:marLeft w:val="0"/>
      <w:marRight w:val="0"/>
      <w:marTop w:val="0"/>
      <w:marBottom w:val="0"/>
      <w:divBdr>
        <w:top w:val="none" w:sz="0" w:space="0" w:color="auto"/>
        <w:left w:val="none" w:sz="0" w:space="0" w:color="auto"/>
        <w:bottom w:val="none" w:sz="0" w:space="0" w:color="auto"/>
        <w:right w:val="none" w:sz="0" w:space="0" w:color="auto"/>
      </w:divBdr>
    </w:div>
    <w:div w:id="1587038627">
      <w:bodyDiv w:val="1"/>
      <w:marLeft w:val="0"/>
      <w:marRight w:val="0"/>
      <w:marTop w:val="0"/>
      <w:marBottom w:val="0"/>
      <w:divBdr>
        <w:top w:val="none" w:sz="0" w:space="0" w:color="auto"/>
        <w:left w:val="none" w:sz="0" w:space="0" w:color="auto"/>
        <w:bottom w:val="none" w:sz="0" w:space="0" w:color="auto"/>
        <w:right w:val="none" w:sz="0" w:space="0" w:color="auto"/>
      </w:divBdr>
      <w:divsChild>
        <w:div w:id="186986631">
          <w:marLeft w:val="936"/>
          <w:marRight w:val="0"/>
          <w:marTop w:val="154"/>
          <w:marBottom w:val="0"/>
          <w:divBdr>
            <w:top w:val="none" w:sz="0" w:space="0" w:color="auto"/>
            <w:left w:val="none" w:sz="0" w:space="0" w:color="auto"/>
            <w:bottom w:val="none" w:sz="0" w:space="0" w:color="auto"/>
            <w:right w:val="none" w:sz="0" w:space="0" w:color="auto"/>
          </w:divBdr>
        </w:div>
        <w:div w:id="437528159">
          <w:marLeft w:val="936"/>
          <w:marRight w:val="0"/>
          <w:marTop w:val="154"/>
          <w:marBottom w:val="0"/>
          <w:divBdr>
            <w:top w:val="none" w:sz="0" w:space="0" w:color="auto"/>
            <w:left w:val="none" w:sz="0" w:space="0" w:color="auto"/>
            <w:bottom w:val="none" w:sz="0" w:space="0" w:color="auto"/>
            <w:right w:val="none" w:sz="0" w:space="0" w:color="auto"/>
          </w:divBdr>
        </w:div>
        <w:div w:id="572088504">
          <w:marLeft w:val="936"/>
          <w:marRight w:val="0"/>
          <w:marTop w:val="154"/>
          <w:marBottom w:val="0"/>
          <w:divBdr>
            <w:top w:val="none" w:sz="0" w:space="0" w:color="auto"/>
            <w:left w:val="none" w:sz="0" w:space="0" w:color="auto"/>
            <w:bottom w:val="none" w:sz="0" w:space="0" w:color="auto"/>
            <w:right w:val="none" w:sz="0" w:space="0" w:color="auto"/>
          </w:divBdr>
        </w:div>
        <w:div w:id="1190532820">
          <w:marLeft w:val="936"/>
          <w:marRight w:val="0"/>
          <w:marTop w:val="154"/>
          <w:marBottom w:val="0"/>
          <w:divBdr>
            <w:top w:val="none" w:sz="0" w:space="0" w:color="auto"/>
            <w:left w:val="none" w:sz="0" w:space="0" w:color="auto"/>
            <w:bottom w:val="none" w:sz="0" w:space="0" w:color="auto"/>
            <w:right w:val="none" w:sz="0" w:space="0" w:color="auto"/>
          </w:divBdr>
        </w:div>
        <w:div w:id="1700666437">
          <w:marLeft w:val="936"/>
          <w:marRight w:val="0"/>
          <w:marTop w:val="154"/>
          <w:marBottom w:val="0"/>
          <w:divBdr>
            <w:top w:val="none" w:sz="0" w:space="0" w:color="auto"/>
            <w:left w:val="none" w:sz="0" w:space="0" w:color="auto"/>
            <w:bottom w:val="none" w:sz="0" w:space="0" w:color="auto"/>
            <w:right w:val="none" w:sz="0" w:space="0" w:color="auto"/>
          </w:divBdr>
        </w:div>
      </w:divsChild>
    </w:div>
    <w:div w:id="1817915558">
      <w:bodyDiv w:val="1"/>
      <w:marLeft w:val="0"/>
      <w:marRight w:val="0"/>
      <w:marTop w:val="0"/>
      <w:marBottom w:val="0"/>
      <w:divBdr>
        <w:top w:val="none" w:sz="0" w:space="0" w:color="auto"/>
        <w:left w:val="none" w:sz="0" w:space="0" w:color="auto"/>
        <w:bottom w:val="none" w:sz="0" w:space="0" w:color="auto"/>
        <w:right w:val="none" w:sz="0" w:space="0" w:color="auto"/>
      </w:divBdr>
    </w:div>
    <w:div w:id="1847330011">
      <w:bodyDiv w:val="1"/>
      <w:marLeft w:val="0"/>
      <w:marRight w:val="0"/>
      <w:marTop w:val="0"/>
      <w:marBottom w:val="0"/>
      <w:divBdr>
        <w:top w:val="none" w:sz="0" w:space="0" w:color="auto"/>
        <w:left w:val="none" w:sz="0" w:space="0" w:color="auto"/>
        <w:bottom w:val="none" w:sz="0" w:space="0" w:color="auto"/>
        <w:right w:val="none" w:sz="0" w:space="0" w:color="auto"/>
      </w:divBdr>
    </w:div>
    <w:div w:id="1919749004">
      <w:bodyDiv w:val="1"/>
      <w:marLeft w:val="0"/>
      <w:marRight w:val="0"/>
      <w:marTop w:val="0"/>
      <w:marBottom w:val="0"/>
      <w:divBdr>
        <w:top w:val="none" w:sz="0" w:space="0" w:color="auto"/>
        <w:left w:val="none" w:sz="0" w:space="0" w:color="auto"/>
        <w:bottom w:val="none" w:sz="0" w:space="0" w:color="auto"/>
        <w:right w:val="none" w:sz="0" w:space="0" w:color="auto"/>
      </w:divBdr>
    </w:div>
    <w:div w:id="1958759437">
      <w:bodyDiv w:val="1"/>
      <w:marLeft w:val="0"/>
      <w:marRight w:val="0"/>
      <w:marTop w:val="0"/>
      <w:marBottom w:val="0"/>
      <w:divBdr>
        <w:top w:val="none" w:sz="0" w:space="0" w:color="auto"/>
        <w:left w:val="none" w:sz="0" w:space="0" w:color="auto"/>
        <w:bottom w:val="none" w:sz="0" w:space="0" w:color="auto"/>
        <w:right w:val="none" w:sz="0" w:space="0" w:color="auto"/>
      </w:divBdr>
      <w:divsChild>
        <w:div w:id="332034963">
          <w:marLeft w:val="480"/>
          <w:marRight w:val="0"/>
          <w:marTop w:val="0"/>
          <w:marBottom w:val="0"/>
          <w:divBdr>
            <w:top w:val="none" w:sz="0" w:space="0" w:color="auto"/>
            <w:left w:val="none" w:sz="0" w:space="0" w:color="auto"/>
            <w:bottom w:val="none" w:sz="0" w:space="0" w:color="auto"/>
            <w:right w:val="none" w:sz="0" w:space="0" w:color="auto"/>
          </w:divBdr>
          <w:divsChild>
            <w:div w:id="2339286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9091654">
      <w:bodyDiv w:val="1"/>
      <w:marLeft w:val="0"/>
      <w:marRight w:val="0"/>
      <w:marTop w:val="0"/>
      <w:marBottom w:val="0"/>
      <w:divBdr>
        <w:top w:val="none" w:sz="0" w:space="0" w:color="auto"/>
        <w:left w:val="none" w:sz="0" w:space="0" w:color="auto"/>
        <w:bottom w:val="none" w:sz="0" w:space="0" w:color="auto"/>
        <w:right w:val="none" w:sz="0" w:space="0" w:color="auto"/>
      </w:divBdr>
    </w:div>
    <w:div w:id="2040423292">
      <w:bodyDiv w:val="1"/>
      <w:marLeft w:val="0"/>
      <w:marRight w:val="0"/>
      <w:marTop w:val="0"/>
      <w:marBottom w:val="0"/>
      <w:divBdr>
        <w:top w:val="none" w:sz="0" w:space="0" w:color="auto"/>
        <w:left w:val="none" w:sz="0" w:space="0" w:color="auto"/>
        <w:bottom w:val="none" w:sz="0" w:space="0" w:color="auto"/>
        <w:right w:val="none" w:sz="0" w:space="0" w:color="auto"/>
      </w:divBdr>
    </w:div>
    <w:div w:id="2040734963">
      <w:bodyDiv w:val="1"/>
      <w:marLeft w:val="0"/>
      <w:marRight w:val="0"/>
      <w:marTop w:val="0"/>
      <w:marBottom w:val="0"/>
      <w:divBdr>
        <w:top w:val="none" w:sz="0" w:space="0" w:color="auto"/>
        <w:left w:val="none" w:sz="0" w:space="0" w:color="auto"/>
        <w:bottom w:val="none" w:sz="0" w:space="0" w:color="auto"/>
        <w:right w:val="none" w:sz="0" w:space="0" w:color="auto"/>
      </w:divBdr>
    </w:div>
    <w:div w:id="2136943830">
      <w:bodyDiv w:val="1"/>
      <w:marLeft w:val="0"/>
      <w:marRight w:val="0"/>
      <w:marTop w:val="0"/>
      <w:marBottom w:val="0"/>
      <w:divBdr>
        <w:top w:val="none" w:sz="0" w:space="0" w:color="auto"/>
        <w:left w:val="none" w:sz="0" w:space="0" w:color="auto"/>
        <w:bottom w:val="none" w:sz="0" w:space="0" w:color="auto"/>
        <w:right w:val="none" w:sz="0" w:space="0" w:color="auto"/>
      </w:divBdr>
      <w:divsChild>
        <w:div w:id="17434808">
          <w:marLeft w:val="360"/>
          <w:marRight w:val="0"/>
          <w:marTop w:val="0"/>
          <w:marBottom w:val="0"/>
          <w:divBdr>
            <w:top w:val="none" w:sz="0" w:space="0" w:color="auto"/>
            <w:left w:val="none" w:sz="0" w:space="0" w:color="auto"/>
            <w:bottom w:val="none" w:sz="0" w:space="0" w:color="auto"/>
            <w:right w:val="none" w:sz="0" w:space="0" w:color="auto"/>
          </w:divBdr>
        </w:div>
        <w:div w:id="691763428">
          <w:marLeft w:val="36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jpeg"/><Relationship Id="rId117" Type="http://schemas.openxmlformats.org/officeDocument/2006/relationships/hyperlink" Target="https://doi.org/10.3354/meps238249" TargetMode="External"/><Relationship Id="rId21" Type="http://schemas.openxmlformats.org/officeDocument/2006/relationships/image" Target="media/image10.jpeg"/><Relationship Id="rId42" Type="http://schemas.openxmlformats.org/officeDocument/2006/relationships/image" Target="media/image31.jpeg"/><Relationship Id="rId47" Type="http://schemas.openxmlformats.org/officeDocument/2006/relationships/hyperlink" Target="https://mywaterquality.ca.gov/habs/data_viewer/" TargetMode="External"/><Relationship Id="rId63" Type="http://schemas.openxmlformats.org/officeDocument/2006/relationships/image" Target="media/image51.jpeg"/><Relationship Id="rId68" Type="http://schemas.openxmlformats.org/officeDocument/2006/relationships/image" Target="media/image56.png"/><Relationship Id="rId84" Type="http://schemas.openxmlformats.org/officeDocument/2006/relationships/hyperlink" Target="https://doi.org/10.1007/s10750-009-9762-4" TargetMode="External"/><Relationship Id="rId89" Type="http://schemas.openxmlformats.org/officeDocument/2006/relationships/hyperlink" Target="https://doi.org/10.3354/meps210223" TargetMode="External"/><Relationship Id="rId112" Type="http://schemas.openxmlformats.org/officeDocument/2006/relationships/hyperlink" Target="https://doi.org/10.1111/j.0022-3646.1992.00439.x" TargetMode="External"/><Relationship Id="rId133" Type="http://schemas.openxmlformats.org/officeDocument/2006/relationships/hyperlink" Target="https://doi.org/10.1002/(SICI)1522-7189(199905/06)7:3%3c85::AID-NT39%3e3.0.CO;2-Q" TargetMode="External"/><Relationship Id="rId138" Type="http://schemas.openxmlformats.org/officeDocument/2006/relationships/hyperlink" Target="https://doi.org/10.5296/emsd.v4i2.8036" TargetMode="External"/><Relationship Id="rId154" Type="http://schemas.openxmlformats.org/officeDocument/2006/relationships/hyperlink" Target="https://doi.org/10.1111/j.0022-3646.1996.00371.x" TargetMode="External"/><Relationship Id="rId159" Type="http://schemas.openxmlformats.org/officeDocument/2006/relationships/hyperlink" Target="https://doi.org/10.1016/S0166-445X(97)00022-2" TargetMode="External"/><Relationship Id="rId175" Type="http://schemas.openxmlformats.org/officeDocument/2006/relationships/hyperlink" Target="https://doi.org/10.1016/j.hal.2011.10.025" TargetMode="External"/><Relationship Id="rId170" Type="http://schemas.openxmlformats.org/officeDocument/2006/relationships/hyperlink" Target="https://doi.org/10.1007/s10750-005-1611-5" TargetMode="External"/><Relationship Id="rId16" Type="http://schemas.openxmlformats.org/officeDocument/2006/relationships/hyperlink" Target="http://www.epa.gov/nutrient-policy-data/criteria-development-guidance" TargetMode="External"/><Relationship Id="rId107" Type="http://schemas.openxmlformats.org/officeDocument/2006/relationships/hyperlink" Target="https://doi.org/10.1111/j.1529-8817.2004.03213.x" TargetMode="External"/><Relationship Id="rId11" Type="http://schemas.openxmlformats.org/officeDocument/2006/relationships/image" Target="media/image2.jpeg"/><Relationship Id="rId32" Type="http://schemas.openxmlformats.org/officeDocument/2006/relationships/image" Target="media/image21.emf"/><Relationship Id="rId37" Type="http://schemas.openxmlformats.org/officeDocument/2006/relationships/image" Target="media/image26.jpg"/><Relationship Id="rId53" Type="http://schemas.openxmlformats.org/officeDocument/2006/relationships/image" Target="media/image41.png"/><Relationship Id="rId58" Type="http://schemas.openxmlformats.org/officeDocument/2006/relationships/image" Target="media/image46.png"/><Relationship Id="rId74" Type="http://schemas.openxmlformats.org/officeDocument/2006/relationships/hyperlink" Target="https://doi.org/10.1029/2007JC004321" TargetMode="External"/><Relationship Id="rId79" Type="http://schemas.openxmlformats.org/officeDocument/2006/relationships/hyperlink" Target="https://doi.org/10.1016/j.ecolind.2017.01.025" TargetMode="External"/><Relationship Id="rId102" Type="http://schemas.openxmlformats.org/officeDocument/2006/relationships/hyperlink" Target="https://doi.org/10.4319/lo.1981.26.1.0001" TargetMode="External"/><Relationship Id="rId123" Type="http://schemas.openxmlformats.org/officeDocument/2006/relationships/hyperlink" Target="https://doi.org/10.1146/annurev.es.19.110188.000513" TargetMode="External"/><Relationship Id="rId128" Type="http://schemas.openxmlformats.org/officeDocument/2006/relationships/hyperlink" Target="https://doi.org/10.1007/s12237-016-0169-y" TargetMode="External"/><Relationship Id="rId144" Type="http://schemas.openxmlformats.org/officeDocument/2006/relationships/hyperlink" Target="https://doi.org/10.1016/S0025-326X(00)00114-4" TargetMode="External"/><Relationship Id="rId149" Type="http://schemas.openxmlformats.org/officeDocument/2006/relationships/hyperlink" Target="https://doi.org/10.1007/978-0-387-09722-0_17" TargetMode="External"/><Relationship Id="rId5" Type="http://schemas.openxmlformats.org/officeDocument/2006/relationships/webSettings" Target="webSettings.xml"/><Relationship Id="rId90" Type="http://schemas.openxmlformats.org/officeDocument/2006/relationships/hyperlink" Target="https://doi.org/10.1126/science.1167755" TargetMode="External"/><Relationship Id="rId95" Type="http://schemas.openxmlformats.org/officeDocument/2006/relationships/hyperlink" Target="https://doi.org/10.2134/jeq2001.302275x" TargetMode="External"/><Relationship Id="rId160" Type="http://schemas.openxmlformats.org/officeDocument/2006/relationships/hyperlink" Target="https://doi.org/10.1021/es0106570" TargetMode="External"/><Relationship Id="rId165" Type="http://schemas.openxmlformats.org/officeDocument/2006/relationships/hyperlink" Target="https://doi.org/10.1038/47481" TargetMode="External"/><Relationship Id="rId181" Type="http://schemas.openxmlformats.org/officeDocument/2006/relationships/hyperlink" Target="https://doi.org/10.1073/pnas.0803833105" TargetMode="External"/><Relationship Id="rId186" Type="http://schemas.openxmlformats.org/officeDocument/2006/relationships/header" Target="header3.xml"/><Relationship Id="rId22" Type="http://schemas.openxmlformats.org/officeDocument/2006/relationships/image" Target="media/image11.jpeg"/><Relationship Id="rId27" Type="http://schemas.openxmlformats.org/officeDocument/2006/relationships/image" Target="media/image16.png"/><Relationship Id="rId43" Type="http://schemas.openxmlformats.org/officeDocument/2006/relationships/image" Target="media/image32.jpeg"/><Relationship Id="rId48" Type="http://schemas.openxmlformats.org/officeDocument/2006/relationships/image" Target="media/image36.png"/><Relationship Id="rId64" Type="http://schemas.openxmlformats.org/officeDocument/2006/relationships/image" Target="media/image52.jpeg"/><Relationship Id="rId69" Type="http://schemas.openxmlformats.org/officeDocument/2006/relationships/image" Target="media/image57.jpg"/><Relationship Id="rId113" Type="http://schemas.openxmlformats.org/officeDocument/2006/relationships/hyperlink" Target="https://doi.org/10.1016/j.hal.2014.07.004" TargetMode="External"/><Relationship Id="rId118" Type="http://schemas.openxmlformats.org/officeDocument/2006/relationships/hyperlink" Target="https://doi.org/10.1890/13-0524.1" TargetMode="External"/><Relationship Id="rId134" Type="http://schemas.openxmlformats.org/officeDocument/2006/relationships/hyperlink" Target="https://doi.org/10.1016/j.hal.2012.06.009" TargetMode="External"/><Relationship Id="rId139" Type="http://schemas.openxmlformats.org/officeDocument/2006/relationships/hyperlink" Target="https://doi.org/10.4319/lo.2006.51.1_part_2.0690" TargetMode="External"/><Relationship Id="rId80" Type="http://schemas.openxmlformats.org/officeDocument/2006/relationships/hyperlink" Target="https://doi.org/10.1371/journal.pone.0109183" TargetMode="External"/><Relationship Id="rId85" Type="http://schemas.openxmlformats.org/officeDocument/2006/relationships/hyperlink" Target="https://doi.org/10.1890/0012-9615(1997)067%5b0489:VEOLDO%5d2.0.CO;2" TargetMode="External"/><Relationship Id="rId150" Type="http://schemas.openxmlformats.org/officeDocument/2006/relationships/hyperlink" Target="https://doi.org/10.1016/j.scitotenv.2011.02.001" TargetMode="External"/><Relationship Id="rId155" Type="http://schemas.openxmlformats.org/officeDocument/2006/relationships/hyperlink" Target="https://doi.org/10.2307/1467800" TargetMode="External"/><Relationship Id="rId171" Type="http://schemas.openxmlformats.org/officeDocument/2006/relationships/hyperlink" Target="https://doi.org/10.1016/j.ecss.2006.09.004" TargetMode="External"/><Relationship Id="rId176" Type="http://schemas.openxmlformats.org/officeDocument/2006/relationships/hyperlink" Target="https://doi.org/10.4319/lo.2002.47.5.1438" TargetMode="External"/><Relationship Id="rId12" Type="http://schemas.openxmlformats.org/officeDocument/2006/relationships/image" Target="media/image3.png"/><Relationship Id="rId17" Type="http://schemas.openxmlformats.org/officeDocument/2006/relationships/image" Target="media/image6.jpeg"/><Relationship Id="rId33" Type="http://schemas.openxmlformats.org/officeDocument/2006/relationships/image" Target="media/image22.emf"/><Relationship Id="rId38" Type="http://schemas.openxmlformats.org/officeDocument/2006/relationships/image" Target="media/image27.emf"/><Relationship Id="rId59" Type="http://schemas.openxmlformats.org/officeDocument/2006/relationships/image" Target="media/image47.jpg"/><Relationship Id="rId103" Type="http://schemas.openxmlformats.org/officeDocument/2006/relationships/hyperlink" Target="https://doi.org/10.1100/tsw.2001.291" TargetMode="External"/><Relationship Id="rId108" Type="http://schemas.openxmlformats.org/officeDocument/2006/relationships/hyperlink" Target="https://doi.org/10.1016/j.hal.2015.09.002" TargetMode="External"/><Relationship Id="rId124" Type="http://schemas.openxmlformats.org/officeDocument/2006/relationships/hyperlink" Target="https://doi.org/10.1007/BF02804898" TargetMode="External"/><Relationship Id="rId129" Type="http://schemas.openxmlformats.org/officeDocument/2006/relationships/hyperlink" Target="https://doi.org/10.1126/science.284.5411.28" TargetMode="External"/><Relationship Id="rId54" Type="http://schemas.openxmlformats.org/officeDocument/2006/relationships/image" Target="media/image42.png"/><Relationship Id="rId70" Type="http://schemas.openxmlformats.org/officeDocument/2006/relationships/image" Target="media/image58.PNG"/><Relationship Id="rId75" Type="http://schemas.openxmlformats.org/officeDocument/2006/relationships/hyperlink" Target="https://doi.org/10.1146/annurev-marine-120308-081121" TargetMode="External"/><Relationship Id="rId91" Type="http://schemas.openxmlformats.org/officeDocument/2006/relationships/hyperlink" Target="https://doi.org/10.2307/1352562" TargetMode="External"/><Relationship Id="rId96" Type="http://schemas.openxmlformats.org/officeDocument/2006/relationships/hyperlink" Target="https://doi.org/10.1126/science.1156401" TargetMode="External"/><Relationship Id="rId140" Type="http://schemas.openxmlformats.org/officeDocument/2006/relationships/hyperlink" Target="https://doi.org/10.1086/684130" TargetMode="External"/><Relationship Id="rId145" Type="http://schemas.openxmlformats.org/officeDocument/2006/relationships/hyperlink" Target="https://doi.org/10.1371/journal.pone.0012576" TargetMode="External"/><Relationship Id="rId161" Type="http://schemas.openxmlformats.org/officeDocument/2006/relationships/hyperlink" Target="https://doi.org/10.1002/ieam.62" TargetMode="External"/><Relationship Id="rId166" Type="http://schemas.openxmlformats.org/officeDocument/2006/relationships/hyperlink" Target="https://doi.org/10.1016/S0769-2609(83)80099-4" TargetMode="External"/><Relationship Id="rId182" Type="http://schemas.openxmlformats.org/officeDocument/2006/relationships/hyperlink" Target="https://doi.org/10.1002/aqc.956" TargetMode="External"/><Relationship Id="rId187"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2.jpeg"/><Relationship Id="rId28" Type="http://schemas.openxmlformats.org/officeDocument/2006/relationships/image" Target="media/image17.emf"/><Relationship Id="rId49" Type="http://schemas.openxmlformats.org/officeDocument/2006/relationships/image" Target="media/image37.jpeg"/><Relationship Id="rId114" Type="http://schemas.openxmlformats.org/officeDocument/2006/relationships/hyperlink" Target="https://doi.org/10.1016/j.ecolind.2014.11.005" TargetMode="External"/><Relationship Id="rId119" Type="http://schemas.openxmlformats.org/officeDocument/2006/relationships/hyperlink" Target="https://doi.org/10.2307/1940125" TargetMode="External"/><Relationship Id="rId44" Type="http://schemas.openxmlformats.org/officeDocument/2006/relationships/image" Target="media/image33.jpeg"/><Relationship Id="rId60" Type="http://schemas.openxmlformats.org/officeDocument/2006/relationships/image" Target="media/image48.jpeg"/><Relationship Id="rId65" Type="http://schemas.openxmlformats.org/officeDocument/2006/relationships/image" Target="media/image53.jpg"/><Relationship Id="rId81" Type="http://schemas.openxmlformats.org/officeDocument/2006/relationships/hyperlink" Target="https://doi.org/10.4319/lo.2002.47.4.1175" TargetMode="External"/><Relationship Id="rId86" Type="http://schemas.openxmlformats.org/officeDocument/2006/relationships/hyperlink" Target="https://doi.org/10.1111/j.1365-2427.2004.01317.x" TargetMode="External"/><Relationship Id="rId130" Type="http://schemas.openxmlformats.org/officeDocument/2006/relationships/hyperlink" Target="https://doi.org/10.3391/ai.2016.11.2.01" TargetMode="External"/><Relationship Id="rId135" Type="http://schemas.openxmlformats.org/officeDocument/2006/relationships/hyperlink" Target="https://doi.org/10.3389/fmars.2016.00014" TargetMode="External"/><Relationship Id="rId151" Type="http://schemas.openxmlformats.org/officeDocument/2006/relationships/hyperlink" Target="https://doi.org/10.1007/s12237-014-9773-x" TargetMode="External"/><Relationship Id="rId156" Type="http://schemas.openxmlformats.org/officeDocument/2006/relationships/hyperlink" Target="https://doi.org/10.1046/j.1365-2427.2000.00556.x" TargetMode="External"/><Relationship Id="rId177" Type="http://schemas.openxmlformats.org/officeDocument/2006/relationships/hyperlink" Target="https://doi.org/10.2307/3060616" TargetMode="External"/><Relationship Id="rId172" Type="http://schemas.openxmlformats.org/officeDocument/2006/relationships/hyperlink" Target="https://doi.org/10.1080/10807039991289491" TargetMode="External"/><Relationship Id="rId13" Type="http://schemas.openxmlformats.org/officeDocument/2006/relationships/image" Target="media/image4.jpeg"/><Relationship Id="rId18" Type="http://schemas.openxmlformats.org/officeDocument/2006/relationships/image" Target="media/image7.jpeg"/><Relationship Id="rId39" Type="http://schemas.openxmlformats.org/officeDocument/2006/relationships/image" Target="media/image28.jpg"/><Relationship Id="rId109" Type="http://schemas.openxmlformats.org/officeDocument/2006/relationships/hyperlink" Target="https://doi.org/10.1899/09-023.1" TargetMode="External"/><Relationship Id="rId34" Type="http://schemas.openxmlformats.org/officeDocument/2006/relationships/image" Target="media/image23.emf"/><Relationship Id="rId50" Type="http://schemas.openxmlformats.org/officeDocument/2006/relationships/image" Target="media/image38.jpeg"/><Relationship Id="rId55" Type="http://schemas.openxmlformats.org/officeDocument/2006/relationships/image" Target="media/image43.jpeg"/><Relationship Id="rId76" Type="http://schemas.openxmlformats.org/officeDocument/2006/relationships/hyperlink" Target="https://doi.org/10.1007/978-94-007-1327-7_22" TargetMode="External"/><Relationship Id="rId97" Type="http://schemas.openxmlformats.org/officeDocument/2006/relationships/hyperlink" Target="https://doi.org/10.1016/j.tree.2007.07.010" TargetMode="External"/><Relationship Id="rId104" Type="http://schemas.openxmlformats.org/officeDocument/2006/relationships/hyperlink" Target="https://doi.org/10.1016/j.envpol.2017.05.093" TargetMode="External"/><Relationship Id="rId120" Type="http://schemas.openxmlformats.org/officeDocument/2006/relationships/hyperlink" Target="https://doi.org/10.1080/07438140109354134" TargetMode="External"/><Relationship Id="rId125" Type="http://schemas.openxmlformats.org/officeDocument/2006/relationships/hyperlink" Target="https://doi.org/10.3354/meps09295" TargetMode="External"/><Relationship Id="rId141" Type="http://schemas.openxmlformats.org/officeDocument/2006/relationships/hyperlink" Target="https://doi.org/10.1002/2016GL070023" TargetMode="External"/><Relationship Id="rId146" Type="http://schemas.openxmlformats.org/officeDocument/2006/relationships/hyperlink" Target="https://doi.org/10.1046/j.1365-2427.1998.00324.x" TargetMode="External"/><Relationship Id="rId167" Type="http://schemas.openxmlformats.org/officeDocument/2006/relationships/hyperlink" Target="https://doi.org/10.1126/science.235.4796.1607" TargetMode="External"/><Relationship Id="rId188" Type="http://schemas.openxmlformats.org/officeDocument/2006/relationships/header" Target="header4.xml"/><Relationship Id="rId7" Type="http://schemas.openxmlformats.org/officeDocument/2006/relationships/endnotes" Target="endnotes.xml"/><Relationship Id="rId71" Type="http://schemas.openxmlformats.org/officeDocument/2006/relationships/hyperlink" Target="http://www.epa.gov/caddis/cd_icds_intro.html" TargetMode="External"/><Relationship Id="rId92" Type="http://schemas.openxmlformats.org/officeDocument/2006/relationships/hyperlink" Target="https://doi.org/10.1111/j.1752-1688.1992.tb01495.x" TargetMode="External"/><Relationship Id="rId162" Type="http://schemas.openxmlformats.org/officeDocument/2006/relationships/hyperlink" Target="https://doi.org/10.1080/00288330.1987.9516235" TargetMode="External"/><Relationship Id="rId183" Type="http://schemas.openxmlformats.org/officeDocument/2006/relationships/hyperlink" Target="https://doi.org/10.1016/0043-1354(89)90130-9" TargetMode="External"/><Relationship Id="rId2" Type="http://schemas.openxmlformats.org/officeDocument/2006/relationships/numbering" Target="numbering.xml"/><Relationship Id="rId29" Type="http://schemas.openxmlformats.org/officeDocument/2006/relationships/image" Target="media/image18.emf"/><Relationship Id="rId24" Type="http://schemas.openxmlformats.org/officeDocument/2006/relationships/image" Target="media/image13.png"/><Relationship Id="rId40" Type="http://schemas.openxmlformats.org/officeDocument/2006/relationships/image" Target="media/image29.gif"/><Relationship Id="rId45" Type="http://schemas.openxmlformats.org/officeDocument/2006/relationships/image" Target="media/image34.jpg"/><Relationship Id="rId66" Type="http://schemas.openxmlformats.org/officeDocument/2006/relationships/image" Target="media/image54.jpg"/><Relationship Id="rId87" Type="http://schemas.openxmlformats.org/officeDocument/2006/relationships/hyperlink" Target="https://doi.org/10.1016/j.watres.2011.12.016" TargetMode="External"/><Relationship Id="rId110" Type="http://schemas.openxmlformats.org/officeDocument/2006/relationships/hyperlink" Target="https://doi.org/10.1007/978-94-017-0299-7_31" TargetMode="External"/><Relationship Id="rId115" Type="http://schemas.openxmlformats.org/officeDocument/2006/relationships/hyperlink" Target="https://doi.org/10.1890/1051-0761(2000)010%5b1024:WQTAMI%5d2.0.CO;2" TargetMode="External"/><Relationship Id="rId131" Type="http://schemas.openxmlformats.org/officeDocument/2006/relationships/hyperlink" Target="https://doi.org/10.1016/j.hal.2011.08.006" TargetMode="External"/><Relationship Id="rId136" Type="http://schemas.openxmlformats.org/officeDocument/2006/relationships/hyperlink" Target="https://doi.org/10.1016/j.chemosphere.2006.01.073" TargetMode="External"/><Relationship Id="rId157" Type="http://schemas.openxmlformats.org/officeDocument/2006/relationships/hyperlink" Target="https://doi.org/10.3354/meps131225" TargetMode="External"/><Relationship Id="rId178" Type="http://schemas.openxmlformats.org/officeDocument/2006/relationships/hyperlink" Target="https://doi.org/10.3354/meps023179" TargetMode="External"/><Relationship Id="rId61" Type="http://schemas.openxmlformats.org/officeDocument/2006/relationships/image" Target="media/image49.png"/><Relationship Id="rId82" Type="http://schemas.openxmlformats.org/officeDocument/2006/relationships/hyperlink" Target="https://doi.org/10.1016/j.marenvres.2018.05.018" TargetMode="External"/><Relationship Id="rId152" Type="http://schemas.openxmlformats.org/officeDocument/2006/relationships/hyperlink" Target="https://doi.org/10.1016/j.watres.2011.08.002" TargetMode="External"/><Relationship Id="rId173" Type="http://schemas.openxmlformats.org/officeDocument/2006/relationships/hyperlink" Target="https://doi.org/10.1007/s12237-014-9796-3" TargetMode="External"/><Relationship Id="rId19" Type="http://schemas.openxmlformats.org/officeDocument/2006/relationships/image" Target="media/image8.jpeg"/><Relationship Id="rId14" Type="http://schemas.openxmlformats.org/officeDocument/2006/relationships/image" Target="media/image5.png"/><Relationship Id="rId30" Type="http://schemas.openxmlformats.org/officeDocument/2006/relationships/image" Target="media/image19.emf"/><Relationship Id="rId35" Type="http://schemas.openxmlformats.org/officeDocument/2006/relationships/image" Target="media/image24.emf"/><Relationship Id="rId56" Type="http://schemas.openxmlformats.org/officeDocument/2006/relationships/image" Target="media/image44.jpg"/><Relationship Id="rId77" Type="http://schemas.openxmlformats.org/officeDocument/2006/relationships/hyperlink" Target="https://doi.org/10.1139/f89-156" TargetMode="External"/><Relationship Id="rId100" Type="http://schemas.openxmlformats.org/officeDocument/2006/relationships/hyperlink" Target="https://doi.org/10.3354/meps146249" TargetMode="External"/><Relationship Id="rId105" Type="http://schemas.openxmlformats.org/officeDocument/2006/relationships/hyperlink" Target="https://doi.org/10.1002/047147844X.sw2162" TargetMode="External"/><Relationship Id="rId126" Type="http://schemas.openxmlformats.org/officeDocument/2006/relationships/hyperlink" Target="https://doi.org/10.17226/20256" TargetMode="External"/><Relationship Id="rId147" Type="http://schemas.openxmlformats.org/officeDocument/2006/relationships/hyperlink" Target="https://doi.org/10.1016/j.hal.2009.04.005" TargetMode="External"/><Relationship Id="rId168" Type="http://schemas.openxmlformats.org/officeDocument/2006/relationships/hyperlink" Target="https://doi.org/10.1126/science.221.4611.669" TargetMode="External"/><Relationship Id="rId8" Type="http://schemas.openxmlformats.org/officeDocument/2006/relationships/header" Target="header1.xml"/><Relationship Id="rId51" Type="http://schemas.openxmlformats.org/officeDocument/2006/relationships/image" Target="media/image39.jpeg"/><Relationship Id="rId72" Type="http://schemas.openxmlformats.org/officeDocument/2006/relationships/image" Target="media/image59.png"/><Relationship Id="rId93" Type="http://schemas.openxmlformats.org/officeDocument/2006/relationships/hyperlink" Target="https://doi.org/10.2307/1311969" TargetMode="External"/><Relationship Id="rId98" Type="http://schemas.openxmlformats.org/officeDocument/2006/relationships/hyperlink" Target="https://doi.org/10.2307/1468295" TargetMode="External"/><Relationship Id="rId121" Type="http://schemas.openxmlformats.org/officeDocument/2006/relationships/hyperlink" Target="https://doi.org/10.1016/j.hal.2006.06.003" TargetMode="External"/><Relationship Id="rId142" Type="http://schemas.openxmlformats.org/officeDocument/2006/relationships/hyperlink" Target="https://doi.org/10.1046/j.1529-8817.2001.037004453.x" TargetMode="External"/><Relationship Id="rId163" Type="http://schemas.openxmlformats.org/officeDocument/2006/relationships/hyperlink" Target="https://doi.org/10.1111/1752-1688.12325" TargetMode="External"/><Relationship Id="rId184" Type="http://schemas.openxmlformats.org/officeDocument/2006/relationships/hyperlink" Target="https://doi.org/10.4319/lo.2005.50.6.1908" TargetMode="External"/><Relationship Id="rId189" Type="http://schemas.openxmlformats.org/officeDocument/2006/relationships/fontTable" Target="fontTable.xml"/><Relationship Id="rId3" Type="http://schemas.openxmlformats.org/officeDocument/2006/relationships/styles" Target="styles.xml"/><Relationship Id="rId25" Type="http://schemas.openxmlformats.org/officeDocument/2006/relationships/image" Target="media/image14.jpeg"/><Relationship Id="rId46" Type="http://schemas.openxmlformats.org/officeDocument/2006/relationships/image" Target="media/image35.jpeg"/><Relationship Id="rId67" Type="http://schemas.openxmlformats.org/officeDocument/2006/relationships/image" Target="media/image55.jpeg"/><Relationship Id="rId116" Type="http://schemas.openxmlformats.org/officeDocument/2006/relationships/hyperlink" Target="https://doi.org/10.1016/S0273-1223(98)00013-4" TargetMode="External"/><Relationship Id="rId137" Type="http://schemas.openxmlformats.org/officeDocument/2006/relationships/hyperlink" Target="https://doi.org/10.2307/1352224" TargetMode="External"/><Relationship Id="rId158" Type="http://schemas.openxmlformats.org/officeDocument/2006/relationships/hyperlink" Target="https://doi.org/10.1016/j.hal.2018.02.005" TargetMode="External"/><Relationship Id="rId20" Type="http://schemas.openxmlformats.org/officeDocument/2006/relationships/image" Target="media/image9.jpeg"/><Relationship Id="rId41" Type="http://schemas.openxmlformats.org/officeDocument/2006/relationships/image" Target="media/image30.jpeg"/><Relationship Id="rId62" Type="http://schemas.openxmlformats.org/officeDocument/2006/relationships/image" Target="media/image50.png"/><Relationship Id="rId83" Type="http://schemas.openxmlformats.org/officeDocument/2006/relationships/hyperlink" Target="https://doi.org/10.1006/ecss.2000.0726" TargetMode="External"/><Relationship Id="rId88" Type="http://schemas.openxmlformats.org/officeDocument/2006/relationships/hyperlink" Target="https://doi.org/10.1111/j.1365-2427.1992.tb00593.x" TargetMode="External"/><Relationship Id="rId111" Type="http://schemas.openxmlformats.org/officeDocument/2006/relationships/hyperlink" Target="https://doi.org/10.4319/lo.1993.38.5.0906" TargetMode="External"/><Relationship Id="rId132" Type="http://schemas.openxmlformats.org/officeDocument/2006/relationships/hyperlink" Target="https://doi.org/10.1016/j.hal.2008.08.019" TargetMode="External"/><Relationship Id="rId153" Type="http://schemas.openxmlformats.org/officeDocument/2006/relationships/hyperlink" Target="https://doi.org/10.3354/meps220083" TargetMode="External"/><Relationship Id="rId174" Type="http://schemas.openxmlformats.org/officeDocument/2006/relationships/hyperlink" Target="https://doi.org/10.4319/lo.2000.45.8.1818" TargetMode="External"/><Relationship Id="rId179" Type="http://schemas.openxmlformats.org/officeDocument/2006/relationships/hyperlink" Target="https://doi.org/10.2307/1352389" TargetMode="External"/><Relationship Id="rId190" Type="http://schemas.openxmlformats.org/officeDocument/2006/relationships/theme" Target="theme/theme1.xml"/><Relationship Id="rId15" Type="http://schemas.openxmlformats.org/officeDocument/2006/relationships/hyperlink" Target="http://www.waterboards.ca.gov/plans_policies/docs/biological_objective/draft_bio_objs_workplan.pdf" TargetMode="External"/><Relationship Id="rId36" Type="http://schemas.openxmlformats.org/officeDocument/2006/relationships/image" Target="media/image25.png"/><Relationship Id="rId57" Type="http://schemas.openxmlformats.org/officeDocument/2006/relationships/image" Target="media/image45.jpeg"/><Relationship Id="rId106" Type="http://schemas.openxmlformats.org/officeDocument/2006/relationships/hyperlink" Target="https://doi.org/10.1126/science.1155676" TargetMode="External"/><Relationship Id="rId127" Type="http://schemas.openxmlformats.org/officeDocument/2006/relationships/hyperlink" Target="https://doi.org/10.1080/07438140709353916" TargetMode="External"/><Relationship Id="rId10" Type="http://schemas.openxmlformats.org/officeDocument/2006/relationships/image" Target="media/image1.png"/><Relationship Id="rId31" Type="http://schemas.openxmlformats.org/officeDocument/2006/relationships/image" Target="media/image20.emf"/><Relationship Id="rId52" Type="http://schemas.openxmlformats.org/officeDocument/2006/relationships/image" Target="media/image40.jpeg"/><Relationship Id="rId73" Type="http://schemas.openxmlformats.org/officeDocument/2006/relationships/hyperlink" Target="https://doi.org/10.1111/j.1529-8817.2011.00990.x" TargetMode="External"/><Relationship Id="rId78" Type="http://schemas.openxmlformats.org/officeDocument/2006/relationships/hyperlink" Target="https://doi.org/10.1139/f91-137" TargetMode="External"/><Relationship Id="rId94" Type="http://schemas.openxmlformats.org/officeDocument/2006/relationships/hyperlink" Target="https://doi.org/10.2307/1353250" TargetMode="External"/><Relationship Id="rId99" Type="http://schemas.openxmlformats.org/officeDocument/2006/relationships/hyperlink" Target="https://doi.org/10.1111/1752-1688.12326" TargetMode="External"/><Relationship Id="rId101" Type="http://schemas.openxmlformats.org/officeDocument/2006/relationships/hyperlink" Target="https://doi.org/10.1016/j.ecolecon.2013.09.007" TargetMode="External"/><Relationship Id="rId122" Type="http://schemas.openxmlformats.org/officeDocument/2006/relationships/hyperlink" Target="https://doi.org/10.4319/lo.2014.59.1.0285" TargetMode="External"/><Relationship Id="rId143" Type="http://schemas.openxmlformats.org/officeDocument/2006/relationships/hyperlink" Target="https://doi.org/10.1007/s12237-013-9670-8" TargetMode="External"/><Relationship Id="rId148" Type="http://schemas.openxmlformats.org/officeDocument/2006/relationships/hyperlink" Target="https://doi.org/10.1080/00785236.1995.10422044" TargetMode="External"/><Relationship Id="rId164" Type="http://schemas.openxmlformats.org/officeDocument/2006/relationships/hyperlink" Target="https://doi.org/10.1073/pnas.0805108105" TargetMode="External"/><Relationship Id="rId169" Type="http://schemas.openxmlformats.org/officeDocument/2006/relationships/hyperlink" Target="https://doi.org/10.2307/1352775" TargetMode="External"/><Relationship Id="rId185" Type="http://schemas.openxmlformats.org/officeDocument/2006/relationships/header" Target="header2.xml"/><Relationship Id="rId4" Type="http://schemas.openxmlformats.org/officeDocument/2006/relationships/settings" Target="settings.xml"/><Relationship Id="rId9" Type="http://schemas.openxmlformats.org/officeDocument/2006/relationships/footer" Target="footer1.xml"/><Relationship Id="rId180" Type="http://schemas.openxmlformats.org/officeDocument/2006/relationships/hyperlink" Target="https://doi.org/10.4319/lo.1997.42.5_part_2.1105"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5F4F10B-25CC-4EC2-8C82-B38DCE7BD98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Pages>
  <Words>25318</Words>
  <Characters>144315</Characters>
  <Application>Microsoft Office Word</Application>
  <DocSecurity>0</DocSecurity>
  <Lines>1202</Lines>
  <Paragraphs>338</Paragraphs>
  <ScaleCrop>false</ScaleCrop>
  <HeadingPairs>
    <vt:vector size="2" baseType="variant">
      <vt:variant>
        <vt:lpstr>Title</vt:lpstr>
      </vt:variant>
      <vt:variant>
        <vt:i4>1</vt:i4>
      </vt:variant>
    </vt:vector>
  </HeadingPairs>
  <TitlesOfParts>
    <vt:vector size="1" baseType="lpstr">
      <vt:lpstr/>
    </vt:vector>
  </TitlesOfParts>
  <Company>SCCWRP</Company>
  <LinksUpToDate>false</LinksUpToDate>
  <CharactersWithSpaces>169295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Martha Sutula</dc:creator>
  <cp:lastModifiedBy>Maxfield, Jessie@Waterboards</cp:lastModifiedBy>
  <cp:revision>2</cp:revision>
  <cp:lastPrinted>2018-10-04T22:12:00Z</cp:lastPrinted>
  <dcterms:created xsi:type="dcterms:W3CDTF">2018-10-29T21:35:00Z</dcterms:created>
  <dcterms:modified xsi:type="dcterms:W3CDTF">2018-10-29T21:35:00Z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-1740616019</vt:i4>
  </property>
</Properties>
</file>